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ACJC/596/2023 vom 10. Mai 2023</w:t>
      </w:r>
    </w:p>
    <w:p>
      <w:r>
        <w:t>GE Cour de justice, 2023-05-10, FR</w:t>
      </w:r>
    </w:p>
    <w:p>
      <w:r>
        <w:rPr>
          <w:b/>
        </w:rPr>
        <w:t xml:space="preserve">Quelle: </w:t>
      </w:r>
      <w:r>
        <w:t>https://mcp.opencaselaw.ch/entscheid/ge_gerichte_ACJC_596_2023</w:t>
      </w:r>
    </w:p>
    <w:p>
      <w:r>
        <w:t>FR: GE_GERICHTE ACJC/596/2023 du 10 mai 2023</w:t>
      </w:r>
    </w:p>
    <w:p>
      <w:r>
        <w:t>IT: GE_GERICHTE ACJC/596/2023 del 10 maggio 2023</w:t>
      </w:r>
    </w:p>
    <w:p>
      <w:pPr>
        <w:pStyle w:val="Heading2"/>
      </w:pPr>
      <w:r>
        <w:t>Erwägungen</w:t>
      </w:r>
    </w:p>
    <w:p>
      <w:r>
        <w:rPr>
          <w:b/>
        </w:rPr>
        <w:t>E. 1.1</w:t>
      </w:r>
    </w:p>
    <w:p>
      <w:r>
        <w:t>L'appel contre l'ordonnance de mesures provisionnelles du 6 février 2023 a été déposé dans les formes et délais légaux de sorte qu'il est recevable (art. 308 al. 1 let. b et al. 2 et 314 CPC).</w:t>
      </w:r>
    </w:p>
    <w:p>
      <w:r>
        <w:rPr>
          <w:b/>
        </w:rPr>
        <w:t>E. 1.2</w:t>
      </w:r>
    </w:p>
    <w:p>
      <w:r>
        <w:t>La Cour revoit la cause en fait et en droit avec un plein pouvoir d'examen (art. 310 CPC). La présente cause est soumise aux maximes d'office et inquisitoire illimitée en tant qu'elle concerne la situation des enfants mineurs (art. 296 al. 1 et 3 CPC; ATF 147 III 301 consid. 2.2). La Cour n'est donc pas liée par les conclusions des parties, ni par l'interdiction de la reformatio in pejus (ATF 129 III 417 consid. 2.1.1; arrêt du Tribunal fédéral 5A_841/2018, 5A_843/2018 du 12 février 2020 consid. 5.2).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rPr>
          <w:b/>
        </w:rPr>
        <w:t>E. 2</w:t>
      </w:r>
    </w:p>
    <w:p>
      <w:r>
        <w:t>L'appelante a produit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w:t>
      </w:r>
    </w:p>
    <w:p>
      <w:r>
        <w:rPr>
          <w:b/>
        </w:rPr>
        <w:t>E. 2.2</w:t>
      </w:r>
    </w:p>
    <w:p>
      <w:r>
        <w:t>En l'espèce, les pièces nouvelles produites en appel concernent la situation des enfants des parties de sorte qu'elles sont recevables.</w:t>
      </w:r>
    </w:p>
    <w:p>
      <w:r>
        <w:rPr>
          <w:b/>
        </w:rPr>
        <w:t>E. 3</w:t>
      </w:r>
    </w:p>
    <w:p>
      <w:r>
        <w:t>Le Tribunal a retenu dans son ordonnance de mesures provisionnelles que, compte tenu des actes de violence commis par l'appelante sur son époux "en fin d'année 2022" et de la suspicion de maltraitance de la part de celle-ci sur les enfants, il convenait de statuer de manière urgente sur la garde, le droit de visite et l'attribution du domicile conjugal. L'intérêt des enfants commandait de préserver la situation actuelle et de les laisser dans l'appartement où ils vivaient avec leur père, lequel s'occupait d'eux au quotidien, étant précisé que son taux d'occupation réduit lui conférait la disponibilité nécessaire. Selon le Tribunal, les conclusions de l'appelante, qui "nonobstant la situation actuelle, persiste, même sur mesures provisionnelles, à requérir tant la jouissance exclusive de l'appartement conjugal que la garde exclusive des enfants n'apparaissent pas réalistes et ne correspondent</w:t>
      </w:r>
    </w:p>
    <w:p>
      <w:r>
        <w:t>- 12/25 -</w:t>
      </w:r>
    </w:p>
    <w:p>
      <w:r>
        <w:t>C/22470/2022 ni à l'intérêt des enfants, ni à une saine pesée d'intérêts (…) vu les récents épisodes de violence qui lui sont reprochés".</w:t>
      </w:r>
    </w:p>
    <w:p>
      <w:r>
        <w:t>L'appelante fait valoir que le Tribunal a considéré à tort qu'elle s'était montrée violente envers les enfants et l’intimé. Il ressortait au contraire du dossier que c'était ce dernier qui s'était rendu coupable de maltraitances, tant à son encontre qu'envers les enfants. Ses capacités parentales étaient meilleures que celles de l'intimé, ce qui ressortait du rapport du SEASP. Les mesures d'éloignement prononcées par le Tribunal contre elle n'avaient pas été requises par l'intimé.</w:t>
      </w:r>
    </w:p>
    <w:p>
      <w:r>
        <w:t>3.1.1 Des mesures provisionnelles peuvent valablement être prononcées dans le cadre d'une procédure de mesures protectrices de l'union conjugale, notamment lorsque cette procédure risque de se prolonger (ACJC/1415/2022 du 21 octobre 2022 consid. 1.3; ACJC/474/2016 du 8 avril 2016 consid. 2.1; ACJC/1237/2015 du 16 octobre 2015 consid. 3.3.1; ACJC/395/2015 du 27 mars 2015 consid. 3.3.1; arrêt du Tribunal fédéral 5A_870/2013 du 28 octobre 2014 consid. 5). De telles mesures ne peuvent toutefois être ordonnées que pour autant que les conditions posées par l'art. 261 CPC soient réunies (ACJC/154/2014 du 7 février 2014 consid. 4).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w:t>
      </w:r>
    </w:p>
    <w:p>
      <w:r>
        <w:t>3.1.2 En vertu de l'art. 176 al. 3 CC relatif à l'organisation de la vie séparée, applicable par renvoi de l'art. 276 al. 1 CPC, lorsque les époux ont des enfants mineurs, le juge ordonne les mesures nécessaires d'après les dispositions sur les effets de la filiation (cf. art. 273 ss CC). Le principe fondamental en ce domaine est l'intérêt de l'enfant, celui des parents étant relégué à l'arrière-plan (ATF 131 III 209 consid. 5; 123 III 445 consid. 3b). Lorsqu'elle ne peut éviter autrement que le développement de l'enfant ne soit compromis, l'autorité de protection, respectivement le juge du divorce ou celui de la protection de l'union conjugale (art. 315a al. 1 CC), retire l'enfant aux père et mère et le place de façon appropriée (art. 310 al. 1 CC).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w:t>
      </w:r>
    </w:p>
    <w:p>
      <w:r>
        <w:t>- 13/25 -</w:t>
      </w:r>
    </w:p>
    <w:p>
      <w:r>
        <w:t>C/22470/2022 mise en danger ne joue pas non plus de rôle.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 307 et 308 CC (principes de proportionnalité et de subsidiarité). Cette mesure de protection a pour effet que le droit de déterminer le lieu de résidence de l'enfant passe des père et mère à l'autorité, laquelle choisit alors son encadrement (arrêts du Tribunal fédéral 5A_153/2019 consid. 4.3; 5A_548/2015 du 15 octobre 2015 consid. 4.3). Le caractère approprié du placement est une condition de validité de la mesure de protection. Si le placement s’avère inapproprié, cela ne signifie toutefois en principe pas que le retrait du droit de garde sera annulé, mais qu’un nouveau placement devra être décidé. Les critères à prendre en compte seront notamment l’âge de l’enfant, sa personnalité, ses besoins quant à son suivi éducatif (difficultés scolaires, intégration sociale, troubles du comportement) ou de manière générale quant à sa prise en charge (handicap physique ou psychique, troubles psychologiques), la stabilité et la continuité dans l’environnement de vie (dans la mesure du possible et, pour autant que ce ne soit pas un élément de mise en danger pour l’enfant, le maintien de la scolarisation dans le même établissement), l’avis des père et mère et de l’enfant (MEIER, Commentaire romand, n. 22, ad art. 310 CC).</w:t>
      </w:r>
    </w:p>
    <w:p>
      <w:r>
        <w:t>Pour apprécier ces critères, le juge dispose d'un large pouvoir d'appréciation (ATF 142 III 617 consid. 3.2.5). 3.1.3 L'art. 273 al. 1 CC prévoit que le père ou la mère qui ne détient pas l'autorité parentale ou la garde ainsi que l'enfant mineur ont réciproquement le droit d'entretenir les relations personnelles indiquées par les circonstances.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arrêts du Tribunal fédéral 5A_618/2017 du 2 février 2018 consid. 4.2; 5A_699/2017 du 24 octobre 2017 consid. 5.1;</w:t>
      </w:r>
    </w:p>
    <w:p>
      <w:r>
        <w:t>- 14/25 -</w:t>
      </w:r>
    </w:p>
    <w:p>
      <w:r>
        <w:t>C/22470/2022 5A_184/2017 du 9 juin 2017 consid. 4.1).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5A_618/2017 du 2 février 2018 consid. 4.2; 5A_699/2017 du 24 octobre 2017 consid. 5.1; 5A_184/2017 du 9 juin 2017 consid. 4.1).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5A_618/2017 du 2 février 2018 consid. 4.2; 5A_699/2017 du 24 octobre 2017 consid. 5.1; 5A_184/2017 du 9 juin 2017 consid. 4.1). 3.1.4 Le juge n'est pas lié par les conclusions du Service de protection des mineurs ou du SEASP. Le rapport de ces services (lequel constitue une preuve au sens des art. 168 et 190 CPC) est soumis, à l'instar des autres preuves, au principe de la libre appréciation consacré par l'art. 157 CPC (HAFNER, Basler Kommentar, Schweizerische Zivilprozessordnung, n. 4 ad art. 190 CPC; WEIBEL/NAEGELI, Kommentar zur Schweizerischen Zivilprozessordnung,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3.2</w:t>
      </w:r>
    </w:p>
    <w:p>
      <w:r>
        <w:t>En l'espèce, le Tribunal a ordonné la suppression quasi-totale des relations entre l'appelante et ses enfants, à l'exception d'une entrevue d'une heure tous les quinze jours, sans expliquer sur quels éléments il se fondait pour privilégier la version des événements du 1er janvier 2023 présentée par l'intimé sur celle présentée par l'appelante. Il n'a qui plus est procédé à aucune analyse concrète des actes qu'il retenait à charge de l'appelante, ni indiqué en quoi précisément ceux-ci permettaient de penser que les enfants étaient en danger avec leur mère. Les vidéos produites par l'intimé à l'appui de ses allégations selon lesquelles l'appelante maltraite les enfants ne sont pas probantes. L'on y voit notamment les enfants, répondant aux questions de l'intimé, dire que leur mère les a frappés à certains endroits du corps. Cependant, ces images doivent être considérées avec la plus grande réserve car il est rendu vraisemblable que les déclarations des enfants peuvent avoir été influencées par leur père. Les spécialistes qui ont auditionnés les</w:t>
      </w:r>
    </w:p>
    <w:p>
      <w:r>
        <w:t>- 15/25 -</w:t>
      </w:r>
    </w:p>
    <w:p>
      <w:r>
        <w:t>C/22470/2022 enfants le 1er janvier 2023 ont en effet constaté que ceux-ci avaient été probablement "briefés" sur ce qu'ils devaient dire. Ces constatations ont été confirmées par le Tribunal des mesures de contraintes, qui a retenu que les faits dénoncés par l'intimé n'emportaient globalement que peu de conviction au vu du contexte conflictuel existant entre les parties. Une des vidéos montre une dispute entre les parties, au cours de laquelle les enfants tentent de s'interposer. Il ne ressort pas de cette vidéo que l'appelante se montrerait plus violente que l’intimé. L'existence de violences physiques sur les enfants de la part de l'appelante n'a été constatée par aucune personne de l'entourage de la famille. Les médecins ayant examiné les enfants le 1er janvier 2023 ont en particulier relevé que ceux-ci ne présentaient ce jour-là aucune trace de maltraitance physique. Les enseignants de l'école ont quant à elles indiqué n'avoir pas constaté de marques suspectes sur les enfants. A cela s'ajoute que, à ce stade, l'on ignore tout de la fréquence et de la gravité des prétendues maltraitances imputées à l'appelante envers les enfants. Il n'est pas non plus rendu vraisemblable que l'appelante exercerait de manière régulière des violences physiques contre son époux, comme celui-ci l'a prétendu. Chacune des parties allègue être victime de maltraitances de la part de l'autre et les indications figurant au dossier ne permettent pas de retenir que la version de l'intimé est plus plausible que celle de l'appelante. Il ressort à cet égard du rapport de police établi le 1er janvier 2023 suite à l'altercation qui a opposé les époux que l'intimé a montré aux policiers une vidéo dans laquelle on aperçoit l'appelante lui donner un coup derrière la tête. Dans la mesure où l'on ignore tout des circonstances dans lesquelles cette vidéo a été établie, aucune conclusion déterminante ne peut en être tirée. Le rapport de police mentionne de plus que l'appelante présentait des marques au visage ce jour-là, dues – selon elle - à une gifle et un coup de poing assénés par son époux. Les investigations du SEASP n'ont quant à elles pas confirmé les allégations de l'intimé selon lesquelles il aurait été victime de sévices physiques infligés par l'appelante. Il ressort au contraire du rapport d'évaluation que, en septembre 2022, l'infirmière scolaire a exprimé des inquiétudes en lien avec une marque sur le visage de l'appelante, susceptible d'avoir été provoquée par un coup asséné par son époux. Au regard de ce qui précède, le Tribunal a considéré à tort que l'incident qui s'est produit le 1er janvier 2023 nécessitait d'éloigner immédiatement l'appelante de ses enfants. Cette appréciation, qui s'écarte sans aucune motivation de celle effectuée par le Tribunal des mesures de contraintes, ne saurait être confirmée.</w:t>
      </w:r>
    </w:p>
    <w:p>
      <w:r>
        <w:t>- 16/25 -</w:t>
      </w:r>
    </w:p>
    <w:p>
      <w:r>
        <w:t>C/22470/2022 Au terme d'une enquête approfondie, le SEASP est arrivé à la conclusion que les enfants sont actuellement en souffrance et que leur situation s'est péjorée depuis qu'il ne voient quasiment plus leur mère. Il résulte du rapport du service précité que les enfants vivent depuis plusieurs mois dans un climat de conflit et de violence, qui porte atteinte à leur bon développement. Les trois enfants ont des difficultés scolaires importantes; les garçons sont sous traitement médicamenteux. Aucun des parents n'a été à même de protéger les enfants de leurs disputes conjugales. Dans ces circonstances, et afin de préserver l'intégrité physique et psychologique des enfants, il convient de suivre la recommandation du SEASP et de retirer aux deux parents le droit de garde et celui de déterminer le lieu de résidence des enfants. Dans l'attente des résultats des investigations supplémentaires annoncées par le SPMi, voire des conclusions d'une éventuelle expertise familiale ou de l'issue de la procédure pénale, qui permettront vraisemblablement d'élucider le bien fondé des griefs formés par chacune des parties à l'encontre de l'autre et de déterminer la solution pérenne la mieux à même de préserver le bon développement des enfants, le placement de ceux-ci auprès de leur mère, tel que préconisé par le SEASP, constitue une mesure appropriée. L'enquête menée par ce dernier a en effet permis d'établir, que, à l'heure actuelle, l'appelante est vraisemblablement mieux à même de s'occuper des enfants au quotidien que l'intimé. Depuis qu'ils ont été confiés à leur seul père, les enfants sont tristes et leur situation s'est dégradée. Ils ont à plusieurs reprises réclamé de voir leur mère, qui leur manque. Ils ont manifesté avec émotion leur affection envers cette dernière à l'occasion de la visite qui s'est déroulée mi-mars au Point Rencontre. A teneur du rapport – et même s’il convient encore d’investiguer plus avant les allégations de maltraitance formulées à l’encontre de l’appelante – celle-ci s'est jusqu'à présent montrée adéquate dans les soins à fournir aux enfants, soucieuse de leur bien-être et collaborante avec les personnes impliquées dans l'entourage des enfants. Tel n'est pas le cas de l'intimé, décrit comme une personnalité rigide, peu conciliante, susceptible de se montrer brusque et d'adopter des comportements agressifs dans certaines circonstances. Le fait que l'intimé persiste à se rendre à l'école dans le préau pendant les heures de classes alors qu'il lui a été signifié que ce comportement était inadéquat atteste d'une certaine volonté de contrôle sur la vie de ses enfants et de défiance à l'égard des institutions. L'intimé s'est en outre montré peu à l'écoute des inquiétudes des enfants en lien avec le départ de leur</w:t>
      </w:r>
    </w:p>
    <w:p>
      <w:r>
        <w:t>- 17/25 -</w:t>
      </w:r>
    </w:p>
    <w:p>
      <w:r>
        <w:t>C/22470/2022 mère et ne semble pas à même de leur apporter le soutien dont ils ont besoin. Le fait qu'il n'ait pas informé les enfants du fait qu'ils allaient voir leur mère au Point Rencontre avant la visite qui s'est déroulée le 18 mars 2023 est représentatif des difficultés de communication entre le père et les enfants. La mesure de retrait de garde permettra au SEASP de prendre rapidement les mesures nécessaires dans l'hypothèse où la situation des enfants se péjorait de manière à nécessiter un changement de leur lieu de vie, notamment un placement en foyer. Au regard de ce qui précède, l'ordonnance querellée sera modifiée, en ce sens que le droit de garde et celui de déterminer le lieu de résidence des enfants seront retirés aux parties. Les enfants seront provisoirement placés chez leur mère. Compte tenu de l'état psychologique fragilisé des enfants, des suspicions de maltraitance qui pèsent sur l'intimé et des indices de manipulation des enfants par celui-ci, il serait contraire à l'intérêt des enfants de fixer d'ores et déjà un droit de visite étendu en faveur de l'intimé. Les modalités proposées par le SEASP, à savoir le samedi à quinzaine, à raison d'une demi-journée, avec le passage des enfants par le biais du Point Rencontre, paraissent adéquates pour le moment. Elles permettront aux enfants de continuer à voir leur père de manière régulière. Le droit de visite de l'intimé pourra être élargi à l'avenir en fonction de l'évolution de la situation. Les chiffres 1 et 2 du dispositif de l'ordonnance querellée seront modifiés en ce sens.</w:t>
      </w:r>
    </w:p>
    <w:p>
      <w:r>
        <w:rPr>
          <w:b/>
        </w:rPr>
        <w:t>E. 4</w:t>
      </w:r>
    </w:p>
    <w:p>
      <w:r>
        <w:t>L'appelante s'est déclarée d'accord avec la proposition du SEASP d'instituer une curatelle d'assistance éducative. Elle requiert en outre la nomination d'un curateur chargé de représenter les enfants dans la présente procédure.</w:t>
      </w:r>
    </w:p>
    <w:p>
      <w:r>
        <w:t>4.1.1 Parmi les mesures de protection de l'enfant prévues à l'art. 307 al. 1 CC, le juge peut notamment, en application de l'art. 307 al. 3 CC, donner des instructions aux père et mère ou à l'enfant et, en particulier, ordonner la mise en place d'une thérapie (cf. aussi art. 273 al. 2 CC; ATF 142 III 197 consid. 3.7; arrêts du Tribunal fédéral 5A_415/2020 du 18 mars 2021 consid. 6.1; 5A_887/2017 du 16 février 2018 consid. 5.1; 5A_615/2011 du 5 décembre 2011 consid. 4).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w:t>
      </w:r>
    </w:p>
    <w:p>
      <w:r>
        <w:t>- 18/25 -</w:t>
      </w:r>
    </w:p>
    <w:p>
      <w:r>
        <w:t>C/22470/2022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Le principe de la proportionnalité est la pierre angulaire du système de protection civile de l'enfant, la mesure ordonnée devant notamment être apte à atteindre le but de protection visé et nécessaire à cette fin (arrêts du Tribunal fédéral 5A_415/2020 du 18 mars 2021 consid. 6.1; 5A_983/2019 du 13 novembre 2020 consid. 9.1).</w:t>
      </w:r>
    </w:p>
    <w:p>
      <w:r>
        <w:t>4.1.2 Selon l'art. 32 du règlement d'application de la loi sur l'enfance et la jeunesse, en cas de besoin, le service de protection des mineurs peut saisir les autorités judiciaires afin que des mesures de protection soient prises.</w:t>
      </w:r>
    </w:p>
    <w:p>
      <w:r>
        <w:t>4.1.3 Selon l'art. 299 CPC, le Tribunal ordonne si nécessaire la représentation de l'enfant et désigne un curateur expérimenté dans le domaine de l'assistance et en matière juridique, notamment lorsque les parents déposent des conclusions différentes relatives à l'attribution de l'autorité parentale ou du droit de garde ou à des questions importantes concernant leurs relations personnelles avec l'enfant, lorsque l'un des parents le requiert, ou encore lorsque le tribunal envisage une mesure de protection de l'enfant. La nomination d'un curateur n'est pas une obligation, mais une possibilité qui relève du pouvoir d'appréciation du juge (art. 4 CC; arrêts du Tribunal fédéral 5A_303/2016 du 10 octobre 2016 consid. 5.2; 5A_744/2013 du 31 janvier 2014 consid. 3.2.3; 5A_465/2012 du 18 septembre 2012 consid. 4.1.1 s.; 5C_210/2000 du 27.10.2000 c. 2b).</w:t>
      </w:r>
    </w:p>
    <w:p>
      <w:r>
        <w:t>Dans les hypothèses précitées, il est en effet à craindre qu'aucun des parents ne représente réellement l'intérêt de l'enfant et que tous deux fassent primer leur intérêt propre (HELLE, in Droit matrimonial, Fond et procédure, Commentaire pratique, 2016, n. 12 et 18 ad art. 299 CPC). Le représentant est un intermédiaire permettant la protection du droit de l'enfant d'exprimer librement son opinion sur une question l'intéressant, si son audition directe n'est pas indiquée au vu de sa capacité à se former sa propre opinion (arrêt du Tribunal fédéral 5A_744/2013 du 31 janvier 2014 consid. 3.3).</w:t>
      </w:r>
    </w:p>
    <w:p>
      <w:r>
        <w:t>4.2.1 En l'espèce, le SEASP a requis du Tribunal, le 16 février 2023, l'institution</w:t>
      </w:r>
    </w:p>
    <w:p>
      <w:r>
        <w:t>d'une curatelle d'assistance éducative, faisant valoir qu'il existait de sérieuses</w:t>
      </w:r>
    </w:p>
    <w:p>
      <w:r>
        <w:t>inquiétudes concernant la prise en charge des enfants dont la garde avait été</w:t>
      </w:r>
    </w:p>
    <w:p>
      <w:r>
        <w:t>attribuée à l'intimé. Ce faisant, le SEASP a respecté sa mission et a procédé conformément à l'art. 32 du règlement d'application de la loi sur l'enfance et la jeunesse. Le Tribunal n'avait dès lors pas à lui retourner son courrier et à s'abstenir de statuer sur cette requête.</w:t>
      </w:r>
    </w:p>
    <w:p>
      <w:r>
        <w:t>- 19/25 -</w:t>
      </w:r>
    </w:p>
    <w:p>
      <w:r>
        <w:t>C/22470/2022 Cela est d'autant plus vrai que l'instauration d'une curatelle d'assistance éducative se justifie pleinement en l'espèce, compte tenu des déficiences constatées dans la prise en charge des enfants par les deux parties, qui n'ont pas su protéger les enfants des effets délétères de leur conflit conjugal. La mission du curateur consistera notamment à veiller à ce que l'intégrité physique et psychique des enfants soit préservée et à ce qu'ils puissent évoluer dans un environnement adéquat et serein. Cas échéant, il pourra saisir les autorités compétentes si des mesures supplémentaires de protection des enfants s'avéraient nécessaires. La mise en place d'une mesure d'action éducative en milieu ouvert (AEMO) permettra également de soutenir les parents dans leurs tâches et d'observer l'évolution de la situation. La Cour ordonnera par conséquent l'instauration d'une curatelle d'assistance éducative au sens de l'art. 308 al. 1 CC. La curatelle de surveillance des relations personnelles instaurée par le Tribunal sera confirmée dans le principe, même si le chiffre 3 du dispositif de l'ordonnance querellée doit être annulé puisque le droit de visite fixé par le Tribunal est modifié par le présent arrêt. Les frais de ces curatelles seront mis à charge des parties à raison d'une moitié chacune. La présente décision sera transmise au TPAE pour qu'il désigne la personne chargée de ces curatelles. Au regard des importantes difficultés vécues par les enfants et des répercussions que celles-ci sont susceptibles d'avoir sur leur équilibre psychologique, la proposition du SEASP d'ordonner qu'ils puissent bénéficier d'un suivi psychologique paraît adéquate. Le Cour ordonnera un tel suivi, dont les modalités pratiques pourront être mises en œuvre avec l'aide du curateur des enfants. 4.2.3 Compte tenu de la complexité de la situation, notamment des suspicions de maltraitance existant à l'égard des deux parents, qui tiennent des propos diamétralement opposés, il se justifie en outre de nommer pour les enfants un curateur qui sera chargé de les représenter dans le cadre de la procédure de mesures protectrices de l'union conjugale. Contrairement à ce qu'a indiqué le Tribunal dans son ordonnance du 6 février 2023, l'on ne saurait considérer que "les accusations réciproques de chaque parent à l'égard de l'autre (violence sur les enfants par la mère d'une part, d'autre part manipulation et instrumentalisation de ceux-ci par le père)" sont "fréquentes" et "n'ont en soi rien de complexe".</w:t>
      </w:r>
    </w:p>
    <w:p>
      <w:r>
        <w:t>- 20/25 -</w:t>
      </w:r>
    </w:p>
    <w:p>
      <w:r>
        <w:t>C/22470/2022 La complexité de la situation familiale dans le cas d'espèce et les zones d'ombres qui perdurent concernant les capacités parentales de chacune des parties ont au contraire été soulignées à juste titre par le SEASP. L'on peut ainsi craindre qu'aucun des parents ne représente réellement l'intérêt des enfants et que tous deux fassent primer des considérations qui leur sont propres dans le cadre de la procédure en cours. Il est dès lors nécessaire de nommer une personne neutre et expérimentée chargée de protéger les intérêts des enfants et de faire valoir leur position. La Cour désignera Me F______ à cet effet, étant rappelé que celle-ci a déjà une certaine connaissance des faits puisqu'elle a été nommée comme curatrice de représentation des enfants dans le cadre de la procédure pénale.</w:t>
      </w:r>
    </w:p>
    <w:p>
      <w:r>
        <w:rPr>
          <w:b/>
        </w:rPr>
        <w:t>E. 5</w:t>
      </w:r>
    </w:p>
    <w:p>
      <w:r>
        <w:t>Les deux parties, qui sont d'accord avec la suspension de la vie commune, revendiquent l'attribution exclusive du domicile conjugal.</w:t>
      </w:r>
    </w:p>
    <w:p>
      <w:r>
        <w:rPr>
          <w:b/>
        </w:rPr>
        <w:t>E. 5.1</w:t>
      </w:r>
    </w:p>
    <w:p>
      <w:r>
        <w:t>Si les époux ne parviennent pas à s'entendre au sujet de la jouissance du domicile conjugal, l'art. 176 al. 1 ch. 2 CC prévoit que le juge l'attribue provisoirement à l'une des parties en faisant usage de son pouvoir d'appréciation. Il doit procéder à une pesée des intérêts en présence, de façon à prononcer la mesure la plus adéquate au vu des circonstances concrètes (arrêt du Tribunal fédéral 5A_768/2019 du 31 mars 2022 consid. 5.2). En premier lieu, le juge doit examiner à quel époux le domicile conjugal est le plus utile, ce qui conduit à attribuer le logement à celui des époux qui en tirera objectivement le plus grand bénéfice, au vu de ses besoins concrets, étant précisé à cet égard qu'entrent notamment en considération l'intérêt des enfants, confiés au parent qui réclame l'attribution du logement, à pouvoir demeurer dans l'environnement qui leur est familier. Si ce premier critère de l'utilité ne donne pas de résultat clair, le juge doit, en second lieu, examiner à quel époux on peut le plus raisonnablement imposer de déménager, compte tenu de toutes les circonstances (état de santé, âge avancé, lien étroit). Si ce second critère ne donne pas non plus de résultat clair, le juge doit alors tenir compte du statut juridique de l'immeuble et l'attribuer à celui des époux qui en est le propriétaire ou qui bénéficie d'autres droits d'usage sur celui-ci (ATF 120 II 1 consid. 2c; arrêt du Tribunal fédéral 5A_768/2019 du 31 mars 2022 consid. 5.2). Le bien de l'enfant est un critère prioritaire (arrêt du Tribunal fédéral 5A_188/2018 du 1er mars 2018 consid. 4).</w:t>
      </w:r>
    </w:p>
    <w:p>
      <w:r>
        <w:rPr>
          <w:b/>
        </w:rPr>
        <w:t>E. 5.2</w:t>
      </w:r>
    </w:p>
    <w:p>
      <w:r>
        <w:t>Dans la mesure où le placement des enfants auprès de l'appelante est ordonné, il convient d'attribuer à celle-ci la jouissance exclusive du domicile conjugal, afin de maintenir les enfants dans leur cadre de vie habituel.</w:t>
      </w:r>
    </w:p>
    <w:p>
      <w:r>
        <w:t>- 21/25 -</w:t>
      </w:r>
    </w:p>
    <w:p>
      <w:r>
        <w:t>C/22470/2022 A cela s'ajoute qu'il sera plus facile pour l'intimé, qui exerce une activité lucrative de traducteur indépendant, de trouver un nouvel appartement, que pour l'appelante qui n'a aucun revenu. Un délai de quinze jours dès la notification du présent arrêt sera imparti à l'intimé pour évacuer ledit domicile conjugal. L'appelante sera autorisée à requérir la force publique au besoin pour obtenir l'exécution de cette mesure. Compte tenu de cette autorisation, il n'y a pas lieu de prononcer cette injonction sous la menace de la peine prévue par l'art. 292 CP, conformément au principe de proportionnalité.</w:t>
      </w:r>
    </w:p>
    <w:p>
      <w:r>
        <w:rPr>
          <w:b/>
        </w:rPr>
        <w:t>E. 6</w:t>
      </w:r>
    </w:p>
    <w:p>
      <w:r>
        <w:t>Le SEASP a proposé qu'il soit fait interdiction à l'intimé d'approcher ses enfants en dehors du Point Rencontre. L'appelante conclut pour sa part à ce que la Cour fasse interdiction à l'intimé de prendre contact avec elle de quelque manière que ce soit, excepté en ce qui concerne le droit de visite.</w:t>
      </w:r>
    </w:p>
    <w:p>
      <w:r>
        <w:rPr>
          <w:b/>
        </w:rPr>
        <w:t>E. 6.1</w:t>
      </w:r>
    </w:p>
    <w:p>
      <w:r>
        <w:t>L'art. 28b al. 1 CC prévoit qu'en cas de violence, de menaces ou de harcèlement, le demandeur peut requérir du juge d'interdire à l'auteur de l'atteinte, en particulier, de l'approcher ou d'accéder à un périmètre déterminé autour de son logement (ch. 1), de fréquenter certains lieux, notamment des rues, places ou quartiers (ch. 2) ou encore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(arrêt du Tribunal fédéral 5A_377/2009 du 3 septembre 2009 consid. 5.3.1). La violence psychique peut se manifester notamment par de la violence verbale ou des menaces de suicide (JEANDIN/PEYROT, Commentaire romand, n. 12 ad art. 28b CC). Les menaces se rapportent à des situations où des atteintes illicites à la personnalité sont à prévoir. Dans ce cas également, il doit s'agir d'une menace sérieuse qui fasse craindre à la victime pour son intégrité physique, psychique, sexuelle ou sociale (arrêt du Tribunal fédéral 5A_377/2009 précité consid. 5.3.1). Lorsqu'il prend des mesures pour protéger la victime, le juge doit respecter le principe fondamental de la proportionnalité. Il doit ainsi prendre la mesure qui est suffisamment efficace pour la victime et la moins incisive pour l'auteur de l'atteinte (arrêt du Tribunal fédéral 5A_377/2009 précité consid. 5.3.2).</w:t>
      </w:r>
    </w:p>
    <w:p>
      <w:r>
        <w:rPr>
          <w:b/>
        </w:rPr>
        <w:t>E. 6.2</w:t>
      </w:r>
    </w:p>
    <w:p>
      <w:r>
        <w:t>En l'espèce, l'existence d'un risque actuel que l'intimé se rende à l'avenir coupable de maltraitances, violences, menaces ou harcèlement à l'encontre de l'appelante ou des enfants n'est pas rendu vraisemblable. Il ne ressort en effet pas du dossier que des actes de ce type se seraient produits depuis la séparation des parties.</w:t>
      </w:r>
    </w:p>
    <w:p>
      <w:r>
        <w:t>- 22/25 -</w:t>
      </w:r>
    </w:p>
    <w:p>
      <w:r>
        <w:t>C/22470/2022 Le droit de visite limité mis en place, avec la cautelle du passage des enfants par l'intermédiaire du Point Rencontre, suffit vraisemblablement en l'état à protéger les enfants d'éventuels épisode de violence imputables à l'intimé. Il ne semble par conséquent pas nécessaire de prononcer sur mesures provisionnelle déjà l'interdiction préconisée par le SEASP. L'appelante ne fournit quant à elle aucune motivation à l'appui de sa conclusion visant au prononcé d'une mesure d'éloignement en sa faveur. Cette mesure n'étant actuellement pas justifiée à teneur de éléments figurant à la procédure, elle ne sera pas ordonnée.</w:t>
      </w:r>
    </w:p>
    <w:p>
      <w:r>
        <w:t>Les mesures d'éloignement prononcée par le Tribunal à l'encontre de l'appelante seront quant à elles annulées (chiffres 7 à 11 du dispositif de l'ordonnance querellée). Le Tribunal n'a pas expliqué pour quel motif il estimait nécessaire de prononcer les mesures en question, qui n'ont été requises par aucune des parties. II ne ressort par ailleurs pas du dossier que de telles mesures serait nécessaire.</w:t>
      </w:r>
    </w:p>
    <w:p>
      <w:r>
        <w:rPr>
          <w:b/>
        </w:rPr>
        <w:t>E. 7</w:t>
      </w:r>
    </w:p>
    <w:p>
      <w:r>
        <w:t>Le recours formé contre l'ordonnance du Tribunal du 6 février 2023 refusant la nomination d'un curateur de représentation sera déclaré sans objet compte tenu de ce qui a été exposé au consid. 4.1.3 ci-dessus.</w:t>
      </w:r>
    </w:p>
    <w:p>
      <w:r>
        <w:rPr>
          <w:b/>
        </w:rPr>
        <w:t>E. 8.1</w:t>
      </w:r>
    </w:p>
    <w:p>
      <w:r>
        <w:t>L'issue de la cause ne commande pas de revoir la répartition des frais opérée par le Tribunal, qui a renvoyé la décision sur les frais des mesures provisoires à la décision finale.</w:t>
      </w:r>
    </w:p>
    <w:p>
      <w:r>
        <w:rPr>
          <w:b/>
        </w:rPr>
        <w:t>E. 8.2</w:t>
      </w:r>
    </w:p>
    <w:p>
      <w:r>
        <w:t>Compte tenu de la nature familiale du litige, les frais judiciaires d'appel et de recours, arrêtés au total à 1'800 fr., seront mis à charge des parties à raison d'une moitié chacune (art. 31, 37 et 41 RTFMC; 107 al. 1 let. c CPC).</w:t>
      </w:r>
    </w:p>
    <w:p>
      <w:r>
        <w:t>Dans la mesure où les deux parties plaident au bénéfice de l'assistance judiciaire, les frais judiciaires d'appel seront laissés provisoirement à la charge de l'Etat de Genève, qui pourra en réclamer le remboursement ultérieurement aux parties aux conditions fixées par la loi (art. 122 et 123 CPC).</w:t>
      </w:r>
    </w:p>
    <w:p>
      <w:r>
        <w:t>Il ne sera pas alloué de dépens (art. 107 al. 1 let. c CPC). * * * * *</w:t>
      </w:r>
    </w:p>
    <w:p>
      <w:r>
        <w:t>- 23/25 -</w:t>
      </w:r>
    </w:p>
    <w:p>
      <w:r>
        <w:t>C/22470/2022</w:t>
      </w:r>
    </w:p>
    <w:p>
      <w:r>
        <w:t>PAR CES MOTIFS, La Chambre civile, statuant sur mesures provisionnelles :</w:t>
      </w:r>
    </w:p>
    <w:p>
      <w:r>
        <w:t>A la forme : Déclare recevable l'appel interjeté par A______ contre l'ordonnance OTPI/81/2023 rendue le 6 février 2023 par le Tribunal de première instance dans la cause C/22470/2022. Déclare sans objet le recours formé par A______ contre l'ordonnance rendue le 6 février 2023 par le Tribunal rejetant sa requête de nomination d’un curateur de représentation pour les enfants des parties. Au fond : Annule les chiffes 1 à 11 de l'ordonnance OTPI/81/2023 du 6 février 2023 précitée et, statuant à nouveau : Autorise les époux B______ et A______ à se constituer des domiciles séparés. Retire à B______ et A______ le droit de garde sur leurs enfants C______ et D______, nés tous deux le ______ 2013, et E______, née le ______ 2015, ainsi que le droit de déterminer leur lieu de résidence. Ordonne le placement des enfants C______, D______ et E______ auprès de A______. Réserve à B______ un droit de visite sur les enfants C______, D______ et E______, lequel s'exercera le samedi à quinzaine, à raison d'une demi-journée, par le biais du Point Rencontre, en modalité "passage", avec un temps de battement. Attribue à A______ la jouissance exclusive du domicile conjugal sis rue 1______ no. ______, [code postal] Genève et du mobilier le garnissant. Ordonne l'évacuation de B______ dudit domicile conjugal dans un délai de 15 jours dès la notification du présent arrêt. Autorise A______, en tant que de besoin, à requérir le concours de la force publique pour obtenir l'exécution de cette évacuation. Ordonne un suivi psychologique des enfants C______, D______ et E______.</w:t>
      </w:r>
    </w:p>
    <w:p>
      <w:r>
        <w:t>- 24/25 -</w:t>
      </w:r>
    </w:p>
    <w:p>
      <w:r>
        <w:t>C/22470/2022 Instaure, au bénéfice des enfants précités, une curatelle d'assistance éducative et une curatelle d'organisation et de surveillance des relations personnelles. Met les frais de ces curatelles à charge des parties à raison d'une moitié chacune. Transmet le présent arrêt au Tribunal de protection de l'adulte et de l'enfant afin qu'il procède à la désignation de la personne chargée de ces curatelles. Ordonne la représentation des enfants C______, D______ et E______ dans le cadre de la procédure de mesures protectrices de l'union conjugale opposant les parties et désigne Me F______, avocate, à cet effet. Déboute les parties de toutes autres conclusions. Sur les frais : Met les frais judiciaires de seconde instance, arrêtés à 1'800 fr., à la charge de B______ et A______ à raison d'une moitié chacun. Dit que lesdits frais judiciaires sont provisoirement supportés par l'Etat de Genève. Dit qu'il n'est pas alloué de dépens de seconde instance.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- 25/25 -</w:t>
      </w:r>
    </w:p>
    <w:p>
      <w:r>
        <w:t>C/22470/2022</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