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ACJC/596/2019 vom 16. April 2019</w:t>
      </w:r>
    </w:p>
    <w:p>
      <w:r>
        <w:t>GE Cour de justice, 2019-04-16, FR</w:t>
      </w:r>
    </w:p>
    <w:p>
      <w:r>
        <w:rPr>
          <w:b/>
        </w:rPr>
        <w:t xml:space="preserve">Quelle: </w:t>
      </w:r>
      <w:r>
        <w:t>https://mcp.opencaselaw.ch/entscheid/ge_gerichte_ACJC_596_2019</w:t>
      </w:r>
    </w:p>
    <w:p>
      <w:r>
        <w:t>FR: GE_GERICHTE ACJC/596/2019 du 16 avril 2019</w:t>
      </w:r>
    </w:p>
    <w:p>
      <w:r>
        <w:t>IT: GE_GERICHTE ACJC/596/2019 del 16 aprile 2019</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w:t>
      </w:r>
    </w:p>
    <w:p>
      <w:r>
        <w:t>La cause, qui concerne la contribution d'entretien en faveur d'une enfant mineure, est de nature patrimoniale. La valeur capitalisée de celle-ci au sens de l'art. 92 CPC est en l'espèce supérieure à 10'000 fr., compte tenu des montants litigieux devant le premier juge. La voie de l'appel est dès lors ouverte.</w:t>
      </w:r>
    </w:p>
    <w:p>
      <w:r>
        <w:t>- 6/13 -</w:t>
      </w:r>
    </w:p>
    <w:p>
      <w:r>
        <w:t>C/11837/2017</w:t>
      </w:r>
    </w:p>
    <w:p>
      <w:r>
        <w:t>Interjeté dans le délai et la forme prescrits par la loi (art. 142 al. 3 et 311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 La procédure simplifiée s'applique aux procédures indépendantes, à savoir celles qui ne portent que sur les prétentions de l'enfant relevant du droit de la famille, soit notamment aux actions alimentaires (art. 295 CPC).</w:t>
      </w:r>
    </w:p>
    <w:p>
      <w:r>
        <w:t>Le juge établit les faits d'office et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w:t>
      </w:r>
    </w:p>
    <w:p>
      <w:r>
        <w:rPr>
          <w:b/>
        </w:rPr>
        <w:t>E. 2</w:t>
      </w:r>
    </w:p>
    <w:p>
      <w:r>
        <w:t>A juste titre, les parties ne contestent pas la compétence des tribunaux genevois pour connaître de la demande (art. 79 al. 1 LDIP; 2 et 5 ch. 2 let. a CL), ni l'application du droit suisse (art. 83 al. 1 LDIP; 4 al. 1 de la Convention de La Haye du 2 octobre 1973 sur la loi applicable aux obligations alimentaires) compte tenu du fait que l'intimée est domiciliée à Genève auprès de sa mère.</w:t>
      </w:r>
    </w:p>
    <w:p>
      <w:r>
        <w:rPr>
          <w:b/>
        </w:rPr>
        <w:t>E. 3</w:t>
      </w:r>
    </w:p>
    <w:p>
      <w:r>
        <w:t>Les parties ont produit de nouvelles pièces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soumises aux maximes d'office et inquisitoire illimitée (art. 296 CPC), il y a lieu d'admettre que les parties peuvent présenter des novas en appel même si les conditions de l'art. 317 al. 1 CPC ne sont pas réunies (ATF 144 III 349 consid. 4.2.1).</w:t>
      </w:r>
    </w:p>
    <w:p>
      <w:r>
        <w:rPr>
          <w:b/>
        </w:rPr>
        <w:t>E. 3.2</w:t>
      </w:r>
    </w:p>
    <w:p>
      <w:r>
        <w:t>En l'espèce, les pièces nouvelles des parties sont recevables, dans la mesure où elles se rapportent – directement ou indirectement – à leur situation personnelle et financière, qui peut influencer le montant de la contribution due à l'entretien d'une enfant mineure. Il en va de même des allégués de fait s'y rapportant.</w:t>
      </w:r>
    </w:p>
    <w:p>
      <w:r>
        <w:rPr>
          <w:b/>
        </w:rPr>
        <w:t>E. 4</w:t>
      </w:r>
    </w:p>
    <w:p>
      <w:r>
        <w:t>L'appelant reproche au Tribunal de lui avoir imputé un revenu hypothétique, calculé sur la base d'une activité lucrative exercée en Suisse, alors qu'il soutient être incapable de travailler de manière durable, ne dispose d'aucun revenu et</w:t>
      </w:r>
    </w:p>
    <w:p>
      <w:r>
        <w:t>- 7/13 -</w:t>
      </w:r>
    </w:p>
    <w:p>
      <w:r>
        <w:t>C/11837/2017 réside aujourd'hui en Bolivie. Il soutient également qu'un revenu hypothétique doit être imputé à C______, celle-ci étant en mesure d'augmenter son taux d'occupation afin d'obtenir un salaire mensuel net de 3'990 fr. lui permettant de couvrir l'entier des besoins financiers de l'intimée.</w:t>
      </w:r>
    </w:p>
    <w:p>
      <w:r>
        <w:t>4.1.1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Ces différents critères doivent être pris en considération; ils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5A_386/2012 du 23 juillet 2012 consid. 4.2)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et la jurisprudence citée).</w:t>
      </w:r>
    </w:p>
    <w:p>
      <w:r>
        <w:t>4.1.2 La loi n'impose pas de méthode de calcul de la contribution d'entretien. Sa fixation relève de l'appréciation du juge, qui jouit d'un large pouvoir d'appréciation et applique les règles du droit et de l'équité (art. 4 CC; ATF 140 III 337 consid. 4.2.2; 128 III 161, cons. 2c/aa; 127 III 136 consid. 3a; arrêt du Tribunal fédéral 5A_465/2016 19 janvier 2017 consid. 7.2.2).</w:t>
      </w:r>
    </w:p>
    <w:p>
      <w:r>
        <w:t>En présence de situations financières modestes ou moyennes,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d'assurance-maladie) (BASTONS BULLETTI, op. cit., p. 90 et 91). Le loyer imputé au parent gardien doit être diminué de la part attribuée aux enfants, puisque celle-là est intégrée dans les</w:t>
      </w:r>
    </w:p>
    <w:p>
      <w:r>
        <w:t>- 8/13 -</w:t>
      </w:r>
    </w:p>
    <w:p>
      <w:r>
        <w:t>C/11837/2017 coûts directs de ceux-ci (arrêts du Tribunal fédéral 5A_464/2012 du 30 novembre 2012 consid. 4.6.3 et 5A_533/2010 du 24 novembre 2010 consid. 2.1). 24 novembre 2010 consid. 2.1).</w:t>
      </w:r>
    </w:p>
    <w:p>
      <w:r>
        <w:t>Les allocations familiales font partie des revenus de l'enfant et doivent être payées en sus de la contribution d'entretien lorsqu'elles sont versées à la personne tenue de pourvoir à l'entretien de l'enfant (art. 285a al. 1 CC). L'obligation d'entretien trouve sa limite dans la capacité contributive du débirentier, en ce sens que le minimum vital de celui-ci doit être préservé (ATF 140 III 337 consid. 4.3; 137 III 59 consid. 4.2.1 et 4.2.2; arrêt du Tribunal fédéral 5A_104/2017 du 11 mai 2017 consid. 3.3.4.2).</w:t>
      </w:r>
    </w:p>
    <w:p>
      <w:r>
        <w:t>4.1.3 Pour fixer la contribution d'entretien, le juge doit en principe tenir compte du revenu effectif des parties. Une partie peut toutefois se voir imputer un revenu hypothétique, pour autant qu'elle puisse gagner plus que son revenu effectif en faisant preuve de bonne volonté et en accomplissant l'effort que l'on peut raisonnablement exiger d'elle (arrêt du Tribunal fédéral 5A_584/2016 du 14 février 2017 consid. 5.1).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La capacité de pourvoir soi-même à son entretien est susceptible d'être limitée totalement ou partiellement par la charge que représente la garde des enfants. La jurisprudence jusqu'ici bien établie du Tribunal fédéral prévoyait qu'en principe, il ne pouvait être exigé d'un parent la prise ou la reprise d'une activité lucrative à un taux de 50% avant que le plus jeune des enfants dont il avait la garde ait atteint l'âge de 10 ans révolus et de 100% avant qu'il ait atteint l'âge de 16 ans révolus (not. ATF 137 II 307 consid. 4.2.2.2). Dans un récent arrêt de principe de septembre 2018, le Tribunal fédéral a modifié sa jurisprudence à ce sujet, étant parvenu à la conclusion que cette règle ne correspondait plus à la réalité sociale actuelle. En tant qu'une situation stable était conforme au bien de l'enfant, il convenait, en l'absence d'accord des parents au moment de la séparation, de</w:t>
      </w:r>
    </w:p>
    <w:p>
      <w:r>
        <w:t>- 9/13 -</w:t>
      </w:r>
    </w:p>
    <w:p>
      <w:r>
        <w:t>C/11837/2017 maintenir, en tout cas dans un premier temps, le modèle de prise en charge convenu, respectivement pratiqué, avant la séparation (ATF 144 III 481 consid. 4.6). Dans un second temps, mais également lorsque les parents ne s'étaient jamais mis d'accord sur la forme de prise en charge, le modèle des degrés de scolarité devait en revanche s'appliquer. Ainsi, le parent qui prenait en charge l'enfant de manière prépondérante devait en principe exercer une activité lucrative à un taux de 50% dès la scolarisation obligatoire du plus jeune enfant, de 80% dès le début du degré secondaire et de 100% dès ses 16 ans (arrêt du Tribunal fédéral 5A_384/2018 précité consid. 4.7.6). Comme sous l'ancienne jurisprudence, ce modèle constitue cependant une ligne directrice qui doit être assouplie dans des cas particuliers, en présence de motifs suffisants (ATF 144 III 481 consid. 4.7.9).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du Tribunal fédéral 5A_587/2013 du 26 novembre 2013 consid. 6.1.1, 5A_165/2013 du 28 août 2013 consid. 4.1).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arrêts du Tribunal fédéral 5A_120/2014 du 2 septembre 2014 consid. 4.1; 5A_662/2013 du 24 juin 2014 consid. 3.2.1; 5A_587/2013 du 26 novembre 2013 consid. 6.1.1 in fine).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5C.154/1996 du 2 septembre 1997 consid. 3b).</w:t>
      </w:r>
    </w:p>
    <w:p>
      <w:r>
        <w:t>- 10/13 -</w:t>
      </w:r>
    </w:p>
    <w:p>
      <w:r>
        <w:t>C/11837/2017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4.2.1 En l'espèce, les besoins mensuels de l'intimée, non remis en cause en appel, s'élèvent à quelques 630 fr. par mois, après déduction des allocations familiales. Compte tenu de l'augmentation prévisible de ses primes d'assurance-maladie lorsqu'elle atteindra l'âge de 18 ans, c'est à juste titre de le Tribunal a arrêté ses besoins à 830 fr. par mois dès la majorité. 4.2.2 C'est également à bon droit que le premier juge a retenu que l'appelant était en mesure d'exercer une activité lucrative à plein temps. Celui-ci – qui supporte le fardeau de la preuve (art. 8 CC) – n'a en effet produit aucune pièce probante (rapports médicaux actualisés de son état de santé et des thérapies et/ou traitements en cours, résultats des investigations neurologiques menées auprès du département d'immunologie des HUG, etc.) susceptible d'établir qu'il serait durablement empêché de se réinsérer dans la vie active pour raisons médicales. Les deux certificats médicaux déposés par l'appelant n'attestent pas d'une incapacité de travail complète et de longue durée. La teneur du premier certificat, qui fait référence à la précédente "activité" exercée par l'appelant, laisse entendre que celui-ci travaillait en 2016, alors que l'intéressé allègue être en arrêt maladie depuis 2015; en outre, si des problèmes de concentration et de mémoire sont évoqués, il n'est fait aucune mention d'une éventuelle incapacité de travail, partielle ou entière. Le second certificat médical atteste certes d'une affection neurologique évolutive ayant entraîné une incapacité de travail à 100% en avril 2018; aucune indication n'est cependant fournie quant à la durée (début et fin) de cette incapacité, l'appelant devant "prochainement" se soumettre à des examens neurologiques complémentaires afin de permettre un "ajustement" du diagnostic et l'éventuelle mise en place d'une thérapie; ainsi, le pronostic n'est pas assez étayé ni assez précis pour que l'on puisse en déduire une incapacité de travail à long terme. A cela s'ajoute que l'appelant a décidé, selon ses dires, de s'installer définitivement en Bolivie, interrompant de ce fait son suivi médical en Suisse. Enfin, comme l'a relevé à juste titre le Tribunal, l'appelant n'a pas jugé utile de déposer une demande auprès de l'assurance-invalidité (dont les prestations incluent des rentes complémentaires en faveur des enfants de l'assuré) alors qu'il prétend être en incapacité de travail depuis 2015. L'appelant, qui est sans emploi depuis 2009, a déclaré avoir recherché un travail entre 2010 et 2015, sans toutefois étayer ses dires. Il échoue donc à démontrer</w:t>
      </w:r>
    </w:p>
    <w:p>
      <w:r>
        <w:t>- 11/13 -</w:t>
      </w:r>
    </w:p>
    <w:p>
      <w:r>
        <w:t>C/11837/2017 qu'il a déployé les efforts que l'on pouvait attendre de lui afin de mettre à profit sa capacité de gain et satisfaire à son devoir d'entretien. Le jugement entrepris sera confirmé en tant qu'il impute à l'appelant un revenu hypothétique calculé sur la base d'une activité exercée à 100%. Contrairement à ce que soutient l'appelant, il n'y a pas lieu de tenir compte du salaire moyen pratiqué en Bolivie, où le coût de la vie est notoirement moins élevé qu'en Suisse. Il résulte de ses propres déclarations que l'appelant a choisi de quitter Genève pour retourner dans son pays d'origine afin de bénéficier d'un rythme de vie "moins stressant". Il s'ensuit que l'appelant s'est installé en Bolivie pour des motifs de convenance personnelle, sans qu'aucune raison impérative ne l'y contraigne. Or, conformément aux principes rappelés ci-dessus, l'appelant ne pouvait pas librement choisir de modifier ses conditions de vie, sachant que cela aurait une influence sur sa capacité à subvenir aux besoins de sa fille mineure. Il faut au contraire considérer que nonobstant son changement de lieu de résidence, son obligation de subvenir à l'entretien de l'intimée et sa capacité de gain pour y parvenir demeurent inchangées. Le Tribunal a retenu avec raison que l'appelant était en mesure de se procurer un salaire mensuel net d'au moins 2'019 fr. (soit la moyenne des revenus qu'il a perçus en 2006), en prenant un emploi similaire à celui qu'il exerçait comme chauffeur ou dans autre un domaine ne nécessitant pas de qualifications particulières, comme le nettoyage. Ce revenu hypothétique tient compte adéquatement de son âge, de son absence de formation, de ses expériences passées et du fait que l'appelant s'est tenu éloigné du marché du travail pendant plusieurs années. Si l'on se réfère au calculateur national des salaires, le montant retenu est notamment inférieur au salaire médian que perçoit un employé de 53 ans, sans formation professionnelle, sans fonction de cadre ni ancienneté, exerçant une activité de nettoyage à raison de 40 heures par semaine à Genève, dans l'hébergement et la restauration (3'770 fr. bruts), les activités de services administratifs et de soutien (3'890 fr. bruts) ou les autres services personnels (3'540 fr. bruts). Au vu des charges mensuelles de l'appelant (2'464 fr.), dont la quotité n'est pas critiquée devant la Cour, et de la prise en charge de celles-ci à hauteur de 2'000 fr. par son ex-épouse, l'appelant bénéficie d'un solde disponible de 1'555 fr. après couverture de son minimum vital élargi.</w:t>
      </w:r>
    </w:p>
    <w:p>
      <w:r>
        <w:t>4.2.3 C______ travaille à temps partiel et réalise un salaire mensuel net de 2'500 fr. Après couverture de ses charges mensuelles (2'094 fr.), dont la quotité n'est pas critiquée en appel, elle bénéficie d'un solde disponible de 406 fr. Si l'on se réfère au calculateur national des salaires, son revenu mensuel est similaire au salaire médian que perçoit une employée de 56 ans, sans formation</w:t>
      </w:r>
    </w:p>
    <w:p>
      <w:r>
        <w:t>- 12/13 -</w:t>
      </w:r>
    </w:p>
    <w:p>
      <w:r>
        <w:t>C/11837/2017 professionnelle, sans fonction de cadre ni ancienneté, exerçant une activité de nettoyage à raison de 32 heures par semaine à Genève, dans l'hébergement et la restauration (3'040 fr. bruts), les activités de services administratifs et de soutien (3'110 fr. bruts) ou les autres services personnels (2'820 fr. bruts). Dès lors qu'elle travaille à un taux d'activité de l'ordre de 80%, tout en assumant la garde exclusive de sa fille, âgée de 14 ans, à qui elle prodigue les soins et l'éducation nécessaires à son bon développement, la mère de l'intimée ne saurait se voir imposer d'exercer une activité lucrative à temps plein. Il n'y a donc pas lieu de lui imputer un revenu hypothétique supérieur à son revenu effectif.</w:t>
      </w:r>
    </w:p>
    <w:p>
      <w:r>
        <w:t>4.2.4 Au regard de la situation financière respective des parties et de la mère de l'intimée, le Tribunal était fondé à mettre l'intégralité des coûts directs de l'enfant à la charge de l'appelant. Le montant de la contribution d'entretien fixé à 630 fr. jusqu'à l'âge de 18 ans, puis à 830 fr. dès la majorité voire au-delà si l'intimée poursuit une formation ou des études suivies et régulières, est adéquat et sera confirmé, de même que le dies a quo de cette contribution, fixé au 1er novembre 2018 et non critiqué en appel.</w:t>
      </w:r>
    </w:p>
    <w:p>
      <w:r>
        <w:t>Le chiffre 5 du dispositif du jugement attaqué sera donc confirmé. 4.2.5 L'appelant conclut à l'annulation du chiffre 6 du dispositif du jugement entrepris, sans toutefois contester la quotité des frais judiciaires de première instance ou leur répartition. L'appel étant rejeté sur le principe, le jugement attaqué sera également confirmé sur ce point.</w:t>
      </w:r>
    </w:p>
    <w:p>
      <w:r>
        <w:rPr>
          <w:b/>
        </w:rPr>
        <w:t>E. 5</w:t>
      </w:r>
    </w:p>
    <w:p>
      <w:r>
        <w:t>et 6 du dispositif du jugement JTPI/10647/2018 rendu le 2 juillet 2018 par le Tribunal de première instance dans la cause C/11837/2017-22. Au fond : Confirme le jugement querellé. Déboute les parties de toutes autres conclusions. Sur les frais : Arrête les frais judicaires d'appel à 1'000 fr., les met à la charge de A______ et les laisse provisoirement à la charge de l'Etat de Genève. Dit que chaque partie supporte ses dépens d'appel. Siégeant : Monsieur Ivo BUETTI, président; Madame Sylvie DROIN, Madame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