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ACJC/596/2015 vom 22. Mai 2015</w:t>
      </w:r>
    </w:p>
    <w:p>
      <w:r>
        <w:t>GE Cour de justice, 2015-05-22, FR</w:t>
      </w:r>
    </w:p>
    <w:p>
      <w:r>
        <w:rPr>
          <w:b/>
        </w:rPr>
        <w:t xml:space="preserve">Quelle: </w:t>
      </w:r>
      <w:r>
        <w:t>https://mcp.opencaselaw.ch/entscheid/ge_gerichte_ACJC_596_2015</w:t>
      </w:r>
    </w:p>
    <w:p>
      <w:r>
        <w:t>FR: GE_GERICHTE ACJC/596/2015 du 22 mai 2015</w:t>
      </w:r>
    </w:p>
    <w:p>
      <w:r>
        <w:t>IT: GE_GERICHTE ACJC/596/2015 del 22 maggio 2015</w:t>
      </w:r>
    </w:p>
    <w:p>
      <w:pPr>
        <w:pStyle w:val="Heading2"/>
      </w:pPr>
      <w:r>
        <w:t>Erwägungen</w:t>
      </w:r>
    </w:p>
    <w:p>
      <w:r>
        <w:rPr>
          <w:b/>
        </w:rPr>
        <w:t>E. 1.1</w:t>
      </w:r>
    </w:p>
    <w:p>
      <w:r>
        <w:t>S'agissant d'une procédure de mainlevée, seule la voie du recours est ouverte (art. 319 let. b et 309 let. b ch. 3 CPC).</w:t>
      </w:r>
    </w:p>
    <w:p>
      <w:r>
        <w:t>Le présent recours, formé dans le délai et selon la forme prévus par la loi, est recevable (art. 142 al. 1 et 3, art. 321 al. 1 et 2 CPC).</w:t>
      </w:r>
    </w:p>
    <w:p>
      <w:r>
        <w:rPr>
          <w:b/>
        </w:rPr>
        <w:t>E. 1.2</w:t>
      </w:r>
    </w:p>
    <w:p>
      <w:r>
        <w:t>Dans le cadre d'un recours, l'autorité a un plein pouvoir d'examen en droit, mais un pouvoir limité à l'arbitraire en fait (art. 320 CPC; HOHL, Procédure civile, tome II, 2ème éd. 2010, n° 2307).</w:t>
      </w:r>
    </w:p>
    <w:p>
      <w:r>
        <w:t>- 5/8 -</w:t>
      </w:r>
    </w:p>
    <w:p>
      <w:r>
        <w:t>C/9935/2014</w:t>
      </w:r>
    </w:p>
    <w:p>
      <w:r>
        <w:t>La procédure de mainlevée étant instruite en procédure sommaire (art. 251 let. a CPC), la maxime des débats s'applique (art. 55 al. 1, art. 255 let. a a contrario CPC) et la preuve des faits allégués doit être apportée par titres (art. 254 CPC).</w:t>
      </w:r>
    </w:p>
    <w:p>
      <w:r>
        <w:rPr>
          <w:b/>
        </w:rPr>
        <w:t>E. 2.1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w:t>
      </w:r>
    </w:p>
    <w:p>
      <w:r>
        <w:rPr>
          <w:b/>
        </w:rPr>
        <w:t>E. 2.2</w:t>
      </w:r>
    </w:p>
    <w:p>
      <w:r>
        <w:t>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(GILLIERON, n° 33 ad art. 82 LP). En ce qui concerne la signature, une copie, voire un fax ou même un courrier électronique avec signature électronique est suffisant s'il n'existe aucun doute quant à l'identité du signataire (SCHMIDT, in Commentaire romand, LP, 2005, n° 20 ad art. 82 LP). En application de l'art. 14 al. 2bis CO, la signature</w:t>
      </w:r>
    </w:p>
    <w:p>
      <w:r>
        <w:t>- 6/8 -</w:t>
      </w:r>
    </w:p>
    <w:p>
      <w:r>
        <w:t>C/9935/2014 électronique qualifiée, basée sur un certificat qualifié émanant d'un fournisseur de service de certification reconnu au sens de la loi du 19 décembre 2003 sur la signature électronique (RS 943.03), est assimilée à la signature manuscrite (ACJC/1163/2013 du 27 septembre 2013 consid. 3.2). Si le sens ou l'interprétation du titre de mainlevée invoqué est source de doutes, la mainlevée provisoire doit être refusée. La volonté du poursuivi doit ressortir clairement des pièces produites, à défaut de quoi elle ne peut être déterminée que par un jugement au fond (arrêt du Tribunal fédéral 5P.449/2002 du 20 février 2003 consid. 3; STAEHLIN, in Basler Kommentar, SchKG I, 2010, n° 21 ad art. 82 LP).</w:t>
      </w:r>
    </w:p>
    <w:p>
      <w:r>
        <w:rPr>
          <w:b/>
        </w:rPr>
        <w:t>E. 2.3</w:t>
      </w:r>
    </w:p>
    <w:p>
      <w:r>
        <w:t>La distinction entre garantie principale et accessoire est délicate. Si la réelle et commune intention des parties ne peut être établie, il convient d'interpréter l'engagement du garant conformément au principe de la confiance (art. 18 al. 1 CO), en se fondant en premier lieu sur le texte de la garantie. La jurisprudence a mis en évidence certains critères permettant de différencier ces deux catégories de garantie, précisant qu'il faut toujours apprécier l'engagement dans son ensemble. Ainsi, la référence au contrat de base ne permet pas à elle seule de conclure à l'existence d'un engagement accessoire (ATF 131 III 511 consid. 3.3 avec références). En revanche, la jurisprudence voit un indice en faveur d'un engagement autonome lorsque celui qui s'engage a un intérêt personnel distinct, plus ou moins équivalent à celui d'un débiteur principal, si l'engagement est pris à un moment où l'on sait que le débiteur principal ne pourra pas s'exécuter, si l'on peut penser que l'engagement aurait été pris même si l'obligation du débiteur principal n'existait pas, était nulle ou invalidée (arrêt du Tribunal fédéral 4A_582/2008 du 27 février 2009 consid. 4.1 avec références) ou si la somme que le garant s'engage à payer ne correspond pas à celle due par le débiteur principal ou n'est pas définie par référence à celle-ci (arrêt du Tribunal fédéral 4C.274/2001 du 9 avril 2002 consid. 3 avec référence).</w:t>
      </w:r>
    </w:p>
    <w:p>
      <w:r>
        <w:t>Compte tenu du but de protection dévolu aux art. 492 ss CO, normes qui tendent à éviter qu'un garant ne s'engage à la légère, il convient d'opter, en cas de doute sur la nature de l'engagement, en faveur du cautionnement (arrêt du Tribunal fédéral 4C.274/2001 du 9 avril 2002 consid. 3 et les références citées).</w:t>
      </w:r>
    </w:p>
    <w:p>
      <w:r>
        <w:rPr>
          <w:b/>
        </w:rPr>
        <w:t>E. 2.4</w:t>
      </w:r>
    </w:p>
    <w:p>
      <w:r>
        <w:t>En l'espèce, le recourant soutient que l'intimé avait un intérêt personnel distinct, plus ou moins équivalent à celui de la société anonyme emprunteuse, au prêt accordé à cette société.</w:t>
      </w:r>
    </w:p>
    <w:p>
      <w:r>
        <w:t>Or, tel n'est pas le cas puisqu'il résulte des pièces produites que l'intimé n'était qu'un futur actionnaire parmi plusieurs autres actionnaires. L'intimé n'avait donc aucun intérêt personnel distinct, plus ou moins équivalent à celui de la société anonyme elle-même, au prêt accordé à celle-ci par le recourant.</w:t>
      </w:r>
    </w:p>
    <w:p>
      <w:r>
        <w:t>- 7/8 -</w:t>
      </w:r>
    </w:p>
    <w:p>
      <w:r>
        <w:t>C/9935/2014</w:t>
      </w:r>
    </w:p>
    <w:p>
      <w:r>
        <w:t>Aucun autre indice en faveur d'une garantie principale ne résulte des pièces produites. Bien au contraire, parmi les pièces produites par l'intimé figure un courriel émanant du recourant et comportant le terme de "caution".</w:t>
      </w:r>
    </w:p>
    <w:p>
      <w:r>
        <w:t>Le recourant a certes aussi produit un courriel daté du 3 août 2011, comportant la promesse de l'intimé de lui payer son "dû", mais ce courriel ne porte sur aucune somme d'argent déterminée, ou aisément déterminable, et exigible, et le courriel en question ne comporte aucune signature, électronique ou manuscrite, de l'intimé.</w:t>
      </w:r>
    </w:p>
    <w:p>
      <w:r>
        <w:t>Par ailleurs, selon le même courriel, l'intimé ne se rappelait plus la teneur exacte de son propre engagement. On peut donc aussi douter qu'il en connaissait la portée exacte et l'éventuelle invalidité pour vice de forme, au moment de promettre de payer son "dû".</w:t>
      </w:r>
    </w:p>
    <w:p>
      <w:r>
        <w:t>C'est dès lors à juste titre que le premier juge a refusé de prononcer la mainlevée provisoire de l'opposition formée par l'intimée au commandement de payer notifié sur requête du recourant. Mal fondé, le recours sera rejeté.</w:t>
      </w:r>
    </w:p>
    <w:p>
      <w:r>
        <w:rPr>
          <w:b/>
        </w:rPr>
        <w:t>E. 3</w:t>
      </w:r>
    </w:p>
    <w:p>
      <w:r>
        <w:t>Le recourant,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L'émolument de la présente décision sera fixé à 600 fr. et mis à la charge du recourant, compensé à due concurrence avec l'avance de frais de 600 fr. opérée par celui-ci, acquise à l'Etat (art. 111 al. 1 CPC). Le recourant versera à l'intimé, assisté d'un conseil devant la Cour, des dépens arrêtés à 1'000 fr., débours et TVA compris (art. 1 let. c, art. 96 et 105 al. 2 CPC; art. 20 al. 4 LaCC, art. 85, 88, 89 et 90 RTFMC; art. 25 et 26 LaCC; art. 25 LTVA). * * * * *</w:t>
      </w:r>
    </w:p>
    <w:p>
      <w:r>
        <w:t>- 8/8 -</w:t>
      </w:r>
    </w:p>
    <w:p>
      <w:r>
        <w:t>C/9935/2014 PAR CES MOTIFS, La Chambre civile : A la forme : Déclare recevable le recours interjeté le 5 février 2015 par A.______ contre le jugement JTPI/388/2015 rendu le 9 janvier 2015 par le Tribunal de première instance dans la cause C/9935/2014-1 SML. Au fond : Rejette ce recours. Déboute les parties de toutes autres conclusions. Sur les frais : Condamne A.______ aux frais judiciaires du recours, fixés à 600 fr., lesquels sont compensés avec l'avance de frais fournie, qui reste acquise à l'Etat de Genève. Condamne A.______ à payer à B.______ la somme de 1'000 fr. à titre de dépens de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