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ACJC/594/2016 vom 28. April 2016</w:t>
      </w:r>
    </w:p>
    <w:p>
      <w:r>
        <w:t>GE Cour de justice, 2016-04-28, FR</w:t>
      </w:r>
    </w:p>
    <w:p>
      <w:r>
        <w:rPr>
          <w:b/>
        </w:rPr>
        <w:t xml:space="preserve">Quelle: </w:t>
      </w:r>
      <w:r>
        <w:t>https://mcp.opencaselaw.ch/entscheid/ge_gerichte_ACJC_594_2016</w:t>
      </w:r>
    </w:p>
    <w:p>
      <w:r>
        <w:t>FR: GE_GERICHTE ACJC/594/2016 du 28 avril 2016</w:t>
      </w:r>
    </w:p>
    <w:p>
      <w:r>
        <w:t>IT: GE_GERICHTE ACJC/594/2016 del 28 aprile 2016</w:t>
      </w:r>
    </w:p>
    <w:p>
      <w:pPr>
        <w:pStyle w:val="Heading2"/>
      </w:pPr>
      <w:r>
        <w:t>Volltext</w:t>
      </w:r>
    </w:p>
    <w:p>
      <w:r>
        <w:t>Le présent arrêt est communiqué aux parties par plis recommandés ainsi qu'au Tribunal de première instance le 28 avril 2016.</w:t>
      </w:r>
    </w:p>
    <w:p>
      <w:r>
        <w:t>REPUBLIQUE ET</w:t>
      </w:r>
    </w:p>
    <w:p>
      <w:r>
        <w:t>CANTON DE GENEVE POUVOIR JUDICIAIRE C/2124/2015 ACJC/594/2016 ARRÊT DE LA COUR DE JUSTICE Chambre civile DU JEUDI 28 AVRIL 2016</w:t>
      </w:r>
    </w:p>
    <w:p>
      <w:r>
        <w:t>Entre Monsieur A______, domicilié ______ (GE), appelant d'un jugement rendu par la 16ème Chambre du Tribunal de première instance de ce canton le 22 mars 2016, comparant par Me David Bitton, avocat, 3, place du Molard, 1204 Genève, en l'étude duquel il fait élection de domicile, et Madame B______, domiciliée ______ (GE), intimée, comparant par Me Nicolas Jeandin, avocat, 25, Grand rue, case postale 3200, 1211 Genève 3, en l'étude duquel elle fait élection de domicile.</w:t>
      </w:r>
    </w:p>
    <w:p>
      <w:r>
        <w:t>- 2/4 -</w:t>
      </w:r>
    </w:p>
    <w:p>
      <w:r>
        <w:t>C/2124/2015 Vu, EN FAIT, le jugement JTPI/3871/2016 du 22 mars 2016, notifié le lendemain à A______ aux termes duquel le Tribunal de première instance, statuant sur mesures protectrices de l'union conjugale, a, notamment, fixé la contribution d'entretien en faveur de B______ à 17'500 fr. par mois à compter du 15 mars 2015, sous déduction de 14'083 fr. 50 par mois versé jusqu'au prononcé du jugement (ch. 4); Vu l'appel déposé le 4 avril 2016 par A______ au greffe de la Cour de justice par lequel il conclut à l'annulation du chiffre 4 du dispositif précité et, principalement, à ce qu'il lui soit donné acte de son engagement à contribuer à hauteur de 12'500 fr. par mois à l'entretien de son épouse dès le prononcé de l'arrêt à venir; Qu'il requiert à titre préalable l'octroi de l'effet suspensif, faisant valoir qu'à défaut, il doit s'acquitter tant des frais relatifs à l'entretien de la maison des parties que d'un montant supplémentaire de 4'000 fr. par mois en mains de son épouse, destiné à couvrir lesdits frais; que, par ailleurs, son épouse ne serait pas en mesure de restituer un éventuel trop-perçu et que lui-même se trouverait "en situation de cash-flow délicate"; Qu'invitée à se déterminer sur la requête d'effet suspensif, B______ s'y oppose, exposant que son mari réalise des revenus nets moyens d'en tout cas 57'422 fr., de sorte que le problème de cash-flow allégué ne paraît pas sérieux; qu'elle-même avait déjà dû emprunter 37'500 fr. depuis la séparation pour faire face à ses charges courantes; qu'enfin, un éventuel trop-perçu pourrait être compensé, eu égard au fait que les parties sont propriétaires de la villa conjugale;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w:t>
      </w:r>
    </w:p>
    <w:p>
      <w:r>
        <w:t>- 3/4 -</w:t>
      </w:r>
    </w:p>
    <w:p>
      <w:r>
        <w:t>C/2124/2015 Qu'en l'espèce, il n'apparaît pas que le paiement de l'arriéré de contribution ainsi que de la contribution courante soit de nature à faire subir à l'appelant un préjudice difficilement réparable; Qu'en effet, il n'est pas rendu vraisemblable que ce paiement mettrait en péril son minimum vital, l'appelant ne le soutenant d'ailleurs pas; Que le problème de cash-flow allégué ne paraît, prima facie, pas vraisemblable, compte tenu notamment du fait que l'appelant ne critique pas la constatation du Tribunal selon laquelle après paiement de la contribution mise à sa charge et le versement d'une somme mensuelle à son fils de 4'300 fr., l'appelant disposerait encore d'un montant de 11'000 fr. par mois; Que, par ailleurs et comme l'indique l'intimée, il pourra compenser, le cas échéant, un éventuel trop-perçu, dans le cadre de la liquidation des rapports de copropriétaires des parties;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- 4/4 -</w:t>
      </w:r>
    </w:p>
    <w:p>
      <w:r>
        <w:t>C/2124/2015</w:t>
      </w:r>
    </w:p>
    <w:p>
      <w:r>
        <w:t>PAR CES MOTIFS, La Présidente de la Chambre civile : Statuant sur suspension de l'exécution : Rejette la requête de A______ tendant à la suspension de l'effet exécutoire attaché au chiffre 4 du dispositif du jugement JTPI/3871/2016 du 22 mars 2016 par le Tribunal de première instance dans la procédure C/2124/2015-16.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