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ACJC/592/2024 vom 14. Mai 2024</w:t>
      </w:r>
    </w:p>
    <w:p>
      <w:r>
        <w:t>GE Cour de justice, 2024-05-14, FR</w:t>
      </w:r>
    </w:p>
    <w:p>
      <w:r>
        <w:rPr>
          <w:b/>
        </w:rPr>
        <w:t xml:space="preserve">Quelle: </w:t>
      </w:r>
      <w:r>
        <w:t>https://mcp.opencaselaw.ch/entscheid/ge_gerichte_ACJC_592_2024</w:t>
      </w:r>
    </w:p>
    <w:p>
      <w:r>
        <w:t>FR: GE_GERICHTE ACJC/592/2024 du 14 mai 2024</w:t>
      </w:r>
    </w:p>
    <w:p>
      <w:r>
        <w:t>IT: GE_GERICHTE ACJC/592/2024 del 14 maggio 2024</w:t>
      </w:r>
    </w:p>
    <w:p>
      <w:pPr>
        <w:pStyle w:val="Heading2"/>
      </w:pPr>
      <w:r>
        <w:t>Erwägungen</w:t>
      </w:r>
    </w:p>
    <w:p>
      <w:r>
        <w:rPr>
          <w:b/>
        </w:rPr>
        <w:t>E. 1.1</w:t>
      </w:r>
    </w:p>
    <w:p>
      <w:r>
        <w:t>En matière de mainlevée d'opposition, seule la voie du recours est ouverte (art.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w:t>
      </w:r>
    </w:p>
    <w:p>
      <w:r>
        <w:rPr>
          <w:b/>
        </w:rPr>
        <w:t>E. 1.2</w:t>
      </w:r>
    </w:p>
    <w:p>
      <w:r>
        <w:t>Interjeté dans le délai et selon la forme prévus par la loi, le recours est recevable, sous réserve de ce qui suit.</w:t>
      </w:r>
    </w:p>
    <w:p>
      <w:r>
        <w:t>- 4/7 -</w:t>
      </w:r>
    </w:p>
    <w:p>
      <w:r>
        <w:t>C/21363/2023</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 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La recourante reproche au Tribunal de ne pas avoir accordé la mainlevée provisoire requise en retenant que la reconnaissance de dette n'engageait pas valablement l'intimée. Elle soutient que l'engagement aurait été ratifié par les versements effectués postérieurement à la reconnaissance de dette.</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139 III 297 consid. 2.3.1; arrêt du Tribunal fédéral 5A_688/2022 du 23 novembre 2022 consid. 4.1.1). Il peut s'agir soit d'une reconnaissance de dette formelle (art. 17 CO), soit d'un ensemble de pièces dans la mesure où il en ressort les éléments nécessaires (ATF 139 III 297 précité). Le juge de la mainlevée doit vérifier d'office l'identité entre le poursuivant et le créancier, l'identité entre le poursuivi et le débiteur et l'identité entre la prétention selon la poursuite et le titre (ATF 139 III 444 consid.4.1). Si le montant est dû en vertu d'un autre titre que celui indiqué dans le commandement de payer, la mainlevée doit être rejetée en raison du défaut d'identité entre la créance et le titre (VEUILLET/ABBET, La mainlevée de l'opposition, 2ème éd. 2022, ad art. 82 n. 92 et les références citées). Lorsque l'obligé est une personne morale, la mainlevée provisoire dans la poursuite contre celle-ci ne peut en principe être prononcée que si les pouvoirs du représentant (art. 32 al. 1 CO; ég. 458 et 462 CO) ou de l'organe (art. 55 al. 2 CC) qui a signé sont documentés par pièces (ATF 132 III 140 conside.4.1.1). Sauf ratification ultérieure, un titre signé par un administrateur au nom d'une société en</w:t>
      </w:r>
    </w:p>
    <w:p>
      <w:r>
        <w:t>- 5/7 -</w:t>
      </w:r>
    </w:p>
    <w:p>
      <w:r>
        <w:t>C/21363/2023 violation d'une règle de signature collective n'engage pas la société (arrêt du Tribunal fédéral 5A_282/2020 consid. 3).</w:t>
      </w:r>
    </w:p>
    <w:p>
      <w:r>
        <w:t>2.2.1 En l'occurrence, les acomptes que la recourante allègue avoir reçus totalisent 53'780 fr. 55, soit le montant en capital figurant dans le document du 9 mai 2023. Par référence à ce document, seuls les intérêts sur 53'690 fr. 55, entre le 15 janvier et le 9 mai 2023, demeureraient dus.</w:t>
      </w:r>
    </w:p>
    <w:p>
      <w:r>
        <w:t>Dans sa demande, la recourante a formulé des conclusions peu précises. En effet, elle a requis le prononcé de la mainlevée provisoire de l'opposition à concurrence de ce dernier montant, sans indication d'intérêts réclamés. Elle a précisé qu'il s'agissait du total des sommes visées sous postes 1 à 6 du commandement de payer, lesquelles sont assorties d'intérêts moratoires à 5% l'an dès diverses dates échelonnées entre le 3 décembre 2022 et le 14 février 2023.</w:t>
      </w:r>
    </w:p>
    <w:p>
      <w:r>
        <w:t>Devant la Cour, elle conclut au prononcé de la mainlevée provisoire de l'opposition à concurrence de 53'690 fr. 55 avec intérêts moratoires à 5% l'an dès le 15 janvier 2023 et 90 fr., sous déduction de 53'780 fr. 55. En tant que partie de ces conclusions de recours excèderait celles formulées en première instance, elles ne seraient pas recevables (art. 326 CPC).</w:t>
      </w:r>
    </w:p>
    <w:p>
      <w:r>
        <w:t>2.2.2 La recourante se fonde sur le document du 9 mai 2023 intitulé "reconnaissance de dette" pour soutenir qu'elle disposerait d'un titre au sens de l'art. 82 LP, et non sur les factures visées dans le commandement de payer. Il n'est au demeurant pas prétendu que ces factures auraient été signées de sorte qu'elles ne constituent pas des titres au sens de l'art. 82 LP.</w:t>
      </w:r>
    </w:p>
    <w:p>
      <w:r>
        <w:t>Le document susmentionné du 9 mai 2023, postérieur à la notification du commandement payer, ne se réfère pas à des factures ouvertes et ne porte qu'une signature. La recourante n'a produit aucune pièce dont se déduirait des pouvoirs spéciaux accordés à l'auteur de cette signature, étant précisé que, selon le registre du commerce, les deux administrateurs de l'intimée disposent d'une signature collective à deux.</w:t>
      </w:r>
    </w:p>
    <w:p>
      <w:r>
        <w:t>Ainsi, il n'y a pas identité entre la cause de l'obligation résultant du commandement de payer et le titre prétendu, lequel au demeurant n'engage pas l'intimée, comme l'a retenu le premier juge, faute d'avoir été signé par les représentants de cette entité dotés de signatures collectives à deux. La recourante veut voir une ratification de l'engagement supposément pris le 9 mai 2023 dans les trois versements d'acomptes qu'elle a allégués. Elle n'a cependant pas établi leur versement par les deux administrateurs de l'intimée autorisés à la représenter collectivement, de sorte que rien ne permet d'en déduire qu'il s'agirait d'une exécution de l'engagement supposé de nature à le ratifier.</w:t>
      </w:r>
    </w:p>
    <w:p>
      <w:r>
        <w:t>- 6/7 -</w:t>
      </w:r>
    </w:p>
    <w:p>
      <w:r>
        <w:t>C/21363/2023 Peu importe pour le surplus, s'agissant d'une procédure sur titres, que l'intimée n'ait pas comparu en procédure.</w:t>
      </w:r>
    </w:p>
    <w:p>
      <w:r>
        <w:t>En définitive, au vu de ce qui précède, les conditions permettant la mainlevée provisoire de l'opposition formée au commandement de payer au sens de l'art. 82 LP ne sont pas réalisées.</w:t>
      </w:r>
    </w:p>
    <w:p>
      <w:r>
        <w:t>Le recours sera dès lors rejeté.</w:t>
      </w:r>
    </w:p>
    <w:p>
      <w:r>
        <w:rPr>
          <w:b/>
        </w:rPr>
        <w:t>E. 3</w:t>
      </w:r>
    </w:p>
    <w:p>
      <w:r>
        <w:t>La recourante qui succombe, supportera les frais de la procédure de recours (art. 106 al. 1 CPC), arrêtés à 300 fr. (art. 48, 61 OELP), compensés avec l'avance de frais effectuée, acquise à l'Etat de Genève (art. 111 al. 1 CPC).</w:t>
      </w:r>
    </w:p>
    <w:p>
      <w:r>
        <w:t>L'intimée n'ayant pas participé à la procédure, il n'y a pas lieu à allocation de dépens. * * * * *</w:t>
      </w:r>
    </w:p>
    <w:p>
      <w:r>
        <w:t>- 7/7 -</w:t>
      </w:r>
    </w:p>
    <w:p>
      <w:r>
        <w:t>C/21363/2023 PAR CES MOTIFS, La Chambre civile : A la forme : Déclare recevable le recours formé le 22 avril 2024 par A______ SA contre le jugement JTPI/2000/2024 rendu le 9 février 2024 par le Tribunal de première instance dans la cause C/21363/2023-9 SML. Au fond : Rejette ce recours. Déboute les parties de toutes autres conclusions. Sur les frais : Arrête les frais judiciaires du recours à 300 fr., compensés avec l'avance opérée, acquise à l'Etat de Genève. Les met à la charge de A______. Dit qu’il n’est pas alloué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