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ACJC/592/2020 vom 13. Mai 2020</w:t>
      </w:r>
    </w:p>
    <w:p>
      <w:r>
        <w:t>GE Cour de justice, 2020-05-13, FR</w:t>
      </w:r>
    </w:p>
    <w:p>
      <w:r>
        <w:rPr>
          <w:b/>
        </w:rPr>
        <w:t xml:space="preserve">Quelle: </w:t>
      </w:r>
      <w:r>
        <w:t>https://mcp.opencaselaw.ch/entscheid/ge_gerichte_ACJC_592_2020</w:t>
      </w:r>
    </w:p>
    <w:p>
      <w:r>
        <w:t>FR: GE_GERICHTE ACJC/592/2020 du 13 mai 2020</w:t>
      </w:r>
    </w:p>
    <w:p>
      <w:r>
        <w:t>IT: GE_GERICHTE ACJC/592/2020 del 13 maggio 2020</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w:t>
      </w:r>
    </w:p>
    <w:p>
      <w:r>
        <w:t>- 6/10 -</w:t>
      </w:r>
    </w:p>
    <w:p>
      <w:r>
        <w:t>C/13554/2019 titre de mainlevée valable (arrêt du Tribunal fédéral 5P.174/2005 du 7 octobre 2005 consid. 2.1).</w:t>
      </w:r>
    </w:p>
    <w:p>
      <w:r>
        <w:rPr>
          <w:b/>
        </w:rPr>
        <w:t>E. 2</w:t>
      </w:r>
    </w:p>
    <w:p>
      <w:r>
        <w:t>La recourante se plaint d'arbitraire dans l'établissement des faits par le Tribunal.</w:t>
      </w:r>
    </w:p>
    <w:p>
      <w:r>
        <w:rPr>
          <w:b/>
        </w:rPr>
        <w:t>E. 2.1</w:t>
      </w:r>
    </w:p>
    <w:p>
      <w:r>
        <w:t>En matière d'appréciation des preuves et de constatation des faits, le juge tombe dans l'arbitraire lorsqu'il omet de prendre en considération, sans aucune raison sérieuse, un élément de preuve propre à modifier la décision, lorsqu'il se trompe manifestement sur son sens et sa portée, ou encore lorsque, sur la base des éléments recueillis, il parvient à des constatations insoutenables (ATF 143 IV 500 consid. 1.1; 140 III 264 consid. 2.3; 137 I 58 consid. 4.1.2; arrêt du Tribunal fédéral 4D_6/2020 du 5 février 2020 consid. 5).</w:t>
      </w:r>
    </w:p>
    <w:p>
      <w:r>
        <w:t>Le grief de l'arbitraire ne peut être soulevé que si la correction du vice est susceptible d'influer sur le sort de la cause (ATF 137 I 58 consid. 4.1.2; 134 V 53 consid. 4).</w:t>
      </w:r>
    </w:p>
    <w:p>
      <w:r>
        <w:rPr>
          <w:b/>
        </w:rPr>
        <w:t>E. 2.2</w:t>
      </w:r>
    </w:p>
    <w:p>
      <w:r>
        <w:t>En l'espèce, les faits en lien avec le plan guide de la commune de E______ et les demandes d'autorisation déposées par le groupe G______ ont été intégrés à la partie en fait du présent arrêt. Il en va de même de la demande d'autorisation de construire déposée par la recourante. En ce qui concerne l'étude de faisabilité, ce fait n'est pas de nature à influer sur l'issue du présent litige, compte tenu des motifs qui vont suivre, étant souligné qu'elle est antérieure à l'information donnée au public dans le cadre du plan guide E______, du 14 mars 2018.</w:t>
      </w:r>
    </w:p>
    <w:p>
      <w:r>
        <w:rPr>
          <w:b/>
        </w:rPr>
        <w:t>E. 3</w:t>
      </w:r>
    </w:p>
    <w:p>
      <w:r>
        <w:t>La recourante fait grief au Tribunal de ne pas avoir retenu qu'elle s'était trouvée dans une erreur essentielle, de sorte qu'elle avait rendu vraisemblable sa libération. 3.1.1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w:t>
      </w:r>
    </w:p>
    <w:p>
      <w:r>
        <w:t>- 7/10 -</w:t>
      </w:r>
    </w:p>
    <w:p>
      <w:r>
        <w:t>C/13554/2019 déterminée, ou aisément déterminable, et exigible au moment de la réquisition de poursuite (ATF 139 III 297 consid. 2.3.1; 136 III 624 consid. 4.2.2; 136 III 627 consid. 2). La reconnaissance de dette peut découler du rapprochement de plusieurs pièces, pour autant que les éléments nécessaires en résultent (ATF 122 II 126 consid. 2; SJ 2004 I 209 consid. 3.1; arrêt du Tribunal fédéral 5P.290/2006 du 12 octobre 2006 consid. 3.1.2). 3.1.2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3.1.3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w:t>
      </w:r>
    </w:p>
    <w:p>
      <w:r>
        <w:t>- 8/10 -</w:t>
      </w:r>
    </w:p>
    <w:p>
      <w:r>
        <w:t>C/13554/2019 3.1.4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Le juge de la mainlevée n'intervient en principe pas d'office mais ne statue que sur le moyen soulevé par le poursuivi. Seuls les faits doivent être rendus vraisemblables par le poursuivi, le juge examinant d'office le bien-fondé juridique des moyens libératoires, selon le principe jura novit curia. Le Tribunal fédéral admet toutefois que, lorsqu'il statue sur la base de faits rendus simplement vraisemblables, le juge se contente d'un examen sommaire du droit. Il se peut que le juge de la mainlevée ne soit pas persuadé de l'existence des faits allégués par le poursuivi. Dès lors, il n'est pas arbitraire de considérer l'opposition comme mal fondée lorsque la "contre-preuve" fournie par le poursuivant laisse subsister un doute sur l'exactitude des documents prétendument libératoires fournis par le débiteur (VEUILLET, op. cit., n. 107, 108 et 110 ad art. 82 LP). 3.1.5 Selon l'art. 23 CO, le contrat n'oblige pas celle des parties qui, au moment de conclure, était dans une erreur essentielle. En vertu de l'art. 24 al. 1 ch. 4 CO, l'erreur est essentielle, notamment lorsqu'elle porte sur des faits que la loyauté commerciale permettait à celui qui se prévaut de son erreur de considérer comme des éléments nécessaires du contrat. Ainsi, il faut tout d'abord que l'erreur porte sur un fait subjectivement essentiel. En se plaçant du point de vue de la partie qui était dans l'erreur, il faut que l'on puisse admettre que subjectivement son erreur l'a effectivement déterminé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(ATF 136 III 528 consid. 3.4.1; arrêt du Tribunal fédéral 4A_249/2017 du 8 décembre 2017 consid. 3.2). Selon la jurisprudence, l'acheteur d'un terrain à bâtir n'est pas victime d'une erreur essentielle lorsqu'une autorité refuse l'autorisation de construire qu'il requiert</w:t>
      </w:r>
    </w:p>
    <w:p>
      <w:r>
        <w:t>- 9/10 -</w:t>
      </w:r>
    </w:p>
    <w:p>
      <w:r>
        <w:t>C/13554/2019 parce que la construction est trop importante et ne cadre pas avec le paysage, mais qu'elle l'aurait délivrée pour un projet modifié. Une fausse représentation des effets juridiques découlant des prescriptions de la police des constructions ne constitue pas une erreur essentielle (ATF 95 II 407 consid. 1b).</w:t>
      </w:r>
    </w:p>
    <w:p>
      <w:r>
        <w:rPr>
          <w:b/>
        </w:rPr>
        <w:t>E. 3.2</w:t>
      </w:r>
    </w:p>
    <w:p>
      <w:r>
        <w:t>En l'espèce, il est constant que les parties ont conclu une promesse de vente, devant notaire, constituant une reconnaissance de dette, pour le montant de 400'000 fr. (2ème tranche) requis par les intimés dans la poursuite en cause. La recourante soutient avoir immédiatement rendu vraisemblable sa libération, en raison de l'invalidation de la promesse de vente. Pour fonder son invalidation, elle se prévaut d'une erreur essentielle, soit la connaissance non partagée avec elle par les intimés du fait qu'aucune dérogation, au sens de l'art. 59 LCI, ne pouvait être accordée pour la parcelle à vendre. Si la recourante a certes rendu vraisemblable que dans le cadre de la seconde autorisation de construire déposée par le groupe G______, la commune de E______ a rendu un préavis négatif le 12 avril 2018, elle n'a en revanche pas rendu vraisemblable que les intimés auraient eu connaissance de ce préavis, ni auraient discuté avec le groupe G______. La recourante a également échoué à rendre vraisemblable que les intimés avaient participé aux réunions organisées par la commune de E______, dans le cadre du plan guide E______. Il ne résulte au surplus pas du dossier que les demandes déposées par le groupe G______ auraient été refusées, celles-ci ayant été abandonnées par le groupe précité. Au vu des éléments qui précèdent, la recourante n'a pas rendu vraisemblable s'être trouvée dans une erreur essentielle. Comme l'a retenu à bon droit le Tribunal, l'interprétation de la volonté des parties, lors de la conclusion de la promesse de vente au sens de l'art. 18 CO, nécessite des actes d'instruction et un pouvoir d'appréciation qui excèdent celui du juge de la mainlevée. Par conséquent, le recours sera rejeté.</w:t>
      </w:r>
    </w:p>
    <w:p>
      <w:r>
        <w:rPr>
          <w:b/>
        </w:rPr>
        <w:t>E. 4</w:t>
      </w:r>
    </w:p>
    <w:p>
      <w:r>
        <w:t>Les frais judiciaires du recours seront arrêtés à 1'125 fr. (art. 48 et 61 OELP). Ils seront mis à la charge de la recourante, qui succombe (art. 106 al. 1 CPC) et compensés avec l'avance effectuée, laquelle demeure acquise à l'Etat de Genève (art. 111 al. 1 CPC).</w:t>
      </w:r>
    </w:p>
    <w:p>
      <w:r>
        <w:t>La recourante sera également condamnée à verser 1'000 fr., débours et TVA compris, aux intimés, pris conjointement, à titre de dépens du recours (art. 84, 85, 89 et 90 RTFMC; art. 25 et 26 LaCC). * * * * *</w:t>
      </w:r>
    </w:p>
    <w:p>
      <w:r>
        <w:t>- 10/10 -</w:t>
      </w:r>
    </w:p>
    <w:p>
      <w:r>
        <w:t>C/13554/2019 PAR CES MOTIFS, La Chambre civile : A la forme : Déclare recevable le recours interjeté le 3 février 2020 par A______ SA contre le jugement JTPI/75/2020 rendu le 3 janvier 2020 par le Tribunal de première instance dans la cause C/13554/2019-7 SML. Au fond : Le rejette. Déboute les parties de toutes autres conclusions. Sur les frais : Arrête les frais judiciaires du recours à 1'125 fr., compensés avec l'avance de frais fournie, acquise à l'Etat de Genève, et les met à la charge de A______ SA. Condamne A______ SA à verser à C______ et B______, pris conjointement, la somme de 1'000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