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ACJC/58/2023 vom 18. Januar 2023</w:t>
      </w:r>
    </w:p>
    <w:p>
      <w:r>
        <w:t>GE Cour de justice, 2023-01-18, FR</w:t>
      </w:r>
    </w:p>
    <w:p>
      <w:r>
        <w:rPr>
          <w:b/>
        </w:rPr>
        <w:t xml:space="preserve">Quelle: </w:t>
      </w:r>
      <w:r>
        <w:t>https://mcp.opencaselaw.ch/entscheid/ge_gerichte_ACJC_58_2023</w:t>
      </w:r>
    </w:p>
    <w:p>
      <w:r>
        <w:t>FR: GE_GERICHTE ACJC/58/2023 du 18 janvier 2023</w:t>
      </w:r>
    </w:p>
    <w:p>
      <w:r>
        <w:t>IT: GE_GERICHTE ACJC/58/2023 del 18 gennaio 2023</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142 al. 3, 311 al. 1 CPC), dans une cause où la valeur des contributions périodiques réclamées excède 10'000 fr. (cf. art. 92 al. 2 CPC), l'appel du 17 octobre 2022 est recevable.</w:t>
      </w:r>
    </w:p>
    <w:p>
      <w:r>
        <w:rPr>
          <w:b/>
        </w:rPr>
        <w:t>E. 1.2</w:t>
      </w:r>
    </w:p>
    <w:p>
      <w:r>
        <w:t>La Cour revoit la cause avec un plein pouvoir d'examen (art. 310 CPC). Les mesures protectrices de l'union conjugale étant soumises à la procédure sommaire (art. 271 let. a CPC), sa cognition est toutefois limitée à la simple vraisemblance des faits et à un examen sommaire du droit (ATF 127 III 474 consid. 2b/bb; arrêt du Tribunal fédéral 5A_762/2013 du 27 mars 2014 consid. 2.2). Dans la mesure des conclusions prises en appel (art. 315 al. 1 CPC), la Cour établit les faits d'office (art. 272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 La Cour ne revoit la cause que dans la limite des griefs suffisamment motivés qui sont formulés (arrêts du Tribunal fédéral 4A_290/2014 du 1er septembre 2014 consid. 5; 5A_89/2014 du 15 avril 2011 consid. 5.3.2).</w:t>
      </w:r>
    </w:p>
    <w:p>
      <w:r>
        <w:rPr>
          <w:b/>
        </w:rPr>
        <w:t>E. 2</w:t>
      </w:r>
    </w:p>
    <w:p>
      <w:r>
        <w:t>Dans les causes de droit matrimonial concernant les enfants mineurs, soumises à la maxime inquisitoire illimitée, les pièces nouvelles sont recevables, même si les conditions de l'art. 317 al. 1 CPC ne sont pas réunies (ATF 144 III 349 consid. 4.2.1).</w:t>
      </w:r>
    </w:p>
    <w:p>
      <w:r>
        <w:t>- 7/13 -</w:t>
      </w:r>
    </w:p>
    <w:p>
      <w:r>
        <w:t>C/22317/2021</w:t>
      </w:r>
    </w:p>
    <w:p>
      <w:r>
        <w:t>Les allégations et pièces nouvelles de l'intimé concernent sa situation financière. Pertinentes pour l'établissement des contributions d'entretien des enfants, elles sont recevables. Elles ont été intégrées dans la mesure utile dans la partie "En fait" ci-dessus.</w:t>
      </w:r>
    </w:p>
    <w:p>
      <w:r>
        <w:rPr>
          <w:b/>
        </w:rPr>
        <w:t>E. 3</w:t>
      </w:r>
    </w:p>
    <w:p>
      <w:r>
        <w:t>L'appelante fait grief au Tribunal d'avoir mal apprécié le revenu de son mari et d'avoir ainsi fixé des contributions insuffisantes pour l'entretien des enfants et refusé à tort une contribution à son entretien.</w:t>
      </w:r>
    </w:p>
    <w:p>
      <w:r>
        <w:rPr>
          <w:b/>
        </w:rPr>
        <w:t>E. 3.1</w:t>
      </w:r>
    </w:p>
    <w:p>
      <w:r>
        <w:t>Selon l'art 176 al. 3 CC, si la suspension de la vie commune est fondée, le juge ordonne les mesures nécessaires pour les enfants mineurs, d’après les dispositions sur les effets de la filiation. Selon l'art. 176 al. 1 ch. 1 CC, lorsque le juge constate que la suspension de la vie commune est fondée, il fixe la contribution pécuniaire à verser par un époux à l'autre. Le principe et le montant de la contribution d'entretien se déterminent en fonction des facultés économiques et des besoins respectifs des époux (ATF 121 I 97 consid. 3b; 118 II 376 consid. 20b; 115 II 424 consid. 3). 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Il en résulte que le parent qui ne prend pas en charge l'enfant ou qui ne s'en occupe que partiellement doit en principe subvenir à son entretien financier (arrêts du Tribunal fédéral 5A_102/2019 du 12 décembre 2019 consid. 4.1; 5A_583/2018 du 18 janvier 2019 consid. 5.1).</w:t>
      </w:r>
    </w:p>
    <w:p>
      <w:r>
        <w:rPr>
          <w:b/>
        </w:rPr>
        <w:t>E. 3.1.1</w:t>
      </w:r>
    </w:p>
    <w:p>
      <w:r>
        <w:t>Dans trois arrêts publiés (ATF 147 III 265, in SJ 2021 I 316; ATF 147 III 293 et ATF 147 III 301), le Tribunal fédéral a posé, pour toute la Suisse, une méthode de calcul uniforme des contributions d'entretien du droit de la famille,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w:t>
      </w:r>
    </w:p>
    <w:p>
      <w:r>
        <w:t>- 8/13 -</w:t>
      </w:r>
    </w:p>
    <w:p>
      <w:r>
        <w:t>C/22317/2021 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Pour les parents/adultes,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La fixation de la contribution d'entretien relève de l'appréciation du juge, qui jouit d'un large pouvoir d'appréciation et applique les règles du droit et de l'équité (art. 4 CC). Dans tous les cas, le minimum vital du droit des poursuites du débirentier doit être préservé (ATF 147 III 265 consid. 7.3; arrêt du Tribunal fédéral 5A_450/2020 du</w:t>
      </w:r>
    </w:p>
    <w:p>
      <w:r>
        <w:rPr>
          <w:b/>
        </w:rPr>
        <w:t>E. 3.1.2</w:t>
      </w:r>
    </w:p>
    <w:p>
      <w:r>
        <w:t>La contribution d'entretien sert aussi à garantir la prise en charge de l'enfant par les parents et les tiers (art. 285 al. 2 CC).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et 7.1.4; arrêt du Tribunal fédéral 5A_963/2018 du 23 mai 2019 consid. 3.3.1). La contribution de prise en charge se détermine selon la méthode dite des frais de subsistance.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L'addition des coûts directs de l'enfant et de la contribution de prise en charge constituera le montant dû au titre de contribution d'entretien pour l'enfant</w:t>
      </w:r>
    </w:p>
    <w:p>
      <w:r>
        <w:t>- 9/13 -</w:t>
      </w:r>
    </w:p>
    <w:p>
      <w:r>
        <w:t>C/22317/2021 (arrêts du Tribunal fédéral 5A_329/2019 du 25 octobre 2019 consid. 3.3.1.1 et les références citées; 5A_963/2018 précité consid. 3.3.1). Selon la nouvelle jurisprudence du Tribunal fédéral, on est désormais en droit d'attendre du parent se consacrant à la prise en charge de l'enfant qu'il recommence à travailler, en principe, à 50% dès l'entrée du plus jeune enfant à l'école obligatoire, à 80% à partir du moment où celui-ci débute le degré secondaire, et à 100% dès la fin de sa seizième année (ATF 144 III 481 consid. 4.7.6; arrêt du Tribunal fédéral 5A_329/2019 précité consid. 3.3.1.2).</w:t>
      </w:r>
    </w:p>
    <w:p>
      <w:r>
        <w:rPr>
          <w:b/>
        </w:rPr>
        <w:t>E. 3.1.3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5A_1046/2018 du 3 mai 2019 consid. 4.3).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du 14 février 2017 consid. 5.1). Il s'ensuit que lorsque l'un des parents ne fournit pas tous les efforts que l'on peut attendre de lui pour assumer son obligation d'entretien, le juge peut s'écarter du revenu effectif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arrêts du Tribunal fédéral 5A_254/2019 du 18 juillet 2019 consid. 3.1; 5A_372/2016 du 18 novembre 2016 consid. 3.1) En revanche, si le débirentier diminue volontairement son revenu alors qu'il savait, ou devait savoir, qu'il lui incombait d'assumer des obligations d'entretien, il n'est pas arbitraire de lui imputer le revenu qu'il gagnait précédemment, ce avec</w:t>
      </w:r>
    </w:p>
    <w:p>
      <w:r>
        <w:t>- 10/13 -</w:t>
      </w:r>
    </w:p>
    <w:p>
      <w:r>
        <w:t>C/22317/2021 effet rétroactif au jour de la diminution (arrêts du Tribunal fédéral 5A_571/2018 du 14 septembre 2018 consid. 5.1.2; 5A_372/2016 précité consid. 3.1).</w:t>
      </w:r>
    </w:p>
    <w:p>
      <w:r>
        <w:rPr>
          <w:b/>
        </w:rPr>
        <w:t>E. 3.2</w:t>
      </w:r>
    </w:p>
    <w:p>
      <w:r>
        <w:t>En l'espèce, alors qu'elle conclut à ce que l'entretien convenable de ses deux enfants soit fixé à 741 fr., l'appelante ne soulève aucun grief motivé au sujet des calculs effectués par le Tribunal à ce sujet (cf. partie "En fait" ci-dessus, let. e.a). Il n'est pas possible de comprendre à quoi correspond le montant qu'elle articule. Il sied de souligner, d'une part, qu'en première instance l'appelante alléguait, en tant que charges des enfants, uniquement les postes qui ont finalement été retenus par le Tribunal et, d'autre part, que la mère ne prétend pas qu'elle ne pourrait pas travailler, partiellement ou totalement, pour s'occuper des enfants, ce qui exclut la prise en compte d'une contribution de prise en charge. Les moyens financiers de la mère, ainsi que les besoins des parties et de leurs enfants, calculés par le premier juge, à juste titre, sur la base du minimum vital du droit des poursuites, n'étant pas contestés, il n'y a pas lieu de s'y attarder. Seuls les moyens financiers du père font l'objet d'un grief motivé et recevable.</w:t>
      </w:r>
    </w:p>
    <w:p>
      <w:r>
        <w:rPr>
          <w:b/>
        </w:rPr>
        <w:t>E. 3.2.1</w:t>
      </w:r>
    </w:p>
    <w:p>
      <w:r>
        <w:t>A teneur du dossier, l'intimé a travaillé ces dernières années comme concierge. Jusqu'en avril 2022, son horaire et son salaire mensuel étaient variables. En mai 2022, il a trouvé un nouvel emploi avec un revenu mensuel fixe de 4'800 fr. bruts, versé 13 fois l'an. Il ne peut être raisonnablement exigé qu'il change son domaine d'activité ou qu'il cherche un emploi de concierge mieux rémunéré. Il n'est pas allégué que l'intimé aurait suivi une formation particulière dans le domaine. A titre de comparaison, la Convention collective de travail genevoise pour les concierges (édition 2022) prévoit un salaire minimum de 4'789 fr. 75 bruts pour les employés sans formation (annexe 1). L'employeur actuel de l'intimé atteste que les fonctions de celui-ci "occupent cent pour cent de son temps", de sorte qu'au stade de la vraisemblance, il sera retenu que l'intimé, en tout cas depuis mai 2022, n'est pas en mesure d'exercer une activité annexe, dépendante ou indépendante. C'est donc à juste titre, pour ce qui est de la période postérieure à mai 2022, que le Tribunal a fondé ses calculs sur un revenu mensuel net de l'intimé s'élevant à quelque 4'500 fr. Le disponible de l'époux étant de l'ordre de 960 fr. par mois, les contributions à l'entretien des enfants peuvent cependant être arrêtées à 480 fr. par enfant, allocations familiales non comprises, à compter du 1er mai 2022, sans qu'il ne soit porté atteinte au minimum vital du droit des poursuites du père.</w:t>
      </w:r>
    </w:p>
    <w:p>
      <w:r>
        <w:rPr>
          <w:b/>
        </w:rPr>
        <w:t>E. 3.2.2</w:t>
      </w:r>
    </w:p>
    <w:p>
      <w:r>
        <w:t>Reste à examiner la période de décembre 2021 à avril 2022. Il résulte des pièces produites qu'en 2021, l'intimé a réalisé un revenu mensuel total de l'ordre de 4'327 fr. par son activité de concierge (3'330 fr. 25 + 996 fr. 60). Etant employé de manière irrégulière, il pouvait exercer une activité annexe,</w:t>
      </w:r>
    </w:p>
    <w:p>
      <w:r>
        <w:t>- 11/13 -</w:t>
      </w:r>
    </w:p>
    <w:p>
      <w:r>
        <w:t>C/22317/2021 contrairement à ce qu'il a déclaré en première instance. En tant qu'indépendant, il a facturé en novembre 2021, 7'068 euros, montant qu'il ne conteste pas et qui correspondait à l'époque à 7'379 fr., soit 615 fr. par mois. Au stade de la vraisemblance, il sera retenu que jusqu'en avril 2022, l'intimé, qui n'a pas fait preuve de transparence quant à ses revenus, a réalisé un revenu mensuel net de l'ordre de 5'000 fr. Son disponible a ainsi été, de décembre 2021 à avril 2022, de l'ordre de 1'450 fr. par mois (5'000 fr. - 3'545 fr.). Pour cette période, il sera donc condamné à verser mensuellement 650 fr., allocations familiales non comprises, pour chacun de ses enfants, soit 1'300 fr. au total, montant qui couvre la totalité de leur entretien convenable. Le solde du disponible mensuel, soit 150 fr., sera consacré à l'entretien de l'épouse, soit un montant arrondi à 750 fr. pour la période de décembre 2021 à avril 2022 (150 fr. x 5 mois). Dans la mesure où le nouvel emploi de l'intimé s'exerce à proximité de son domicile et lui permet de bénéficier d'un revenu mensuel fixe, il ne peut être reproché à celui-ci d'avoir modifié ses conditions de vie, même si cela a une influence sur sa capacité à subvenir aux besoins de ses deux enfants mineurs.</w:t>
      </w:r>
    </w:p>
    <w:p>
      <w:r>
        <w:rPr>
          <w:b/>
        </w:rPr>
        <w:t>E. 3.2.3</w:t>
      </w:r>
    </w:p>
    <w:p>
      <w:r>
        <w:t>Les chiffres 9 et 15 du dispositif du jugement attaqué seront modifiés dans le sens qui précède. Le jugement entrepris sera confirmé pour le surplus.</w:t>
      </w:r>
    </w:p>
    <w:p>
      <w:r>
        <w:rPr>
          <w:b/>
        </w:rPr>
        <w:t>E. 4</w:t>
      </w:r>
    </w:p>
    <w:p>
      <w:r>
        <w:t>janvier 2021 consid. 5.3). Les allocations familiales ne sont pas incluses dans le revenu du parent qui les perçoit, mais doivent être déduites lors du calcul des besoins de l'enfant (ATF 137 III 59 consid. 4.2.3; arrêt du Tribunal fédéral 5A_85/2017 du 19 juin 2017 consid. 6.3).</w:t>
      </w:r>
    </w:p>
    <w:p>
      <w:r>
        <w:rPr>
          <w:b/>
        </w:rPr>
        <w:t>E. 4.1</w:t>
      </w:r>
    </w:p>
    <w:p>
      <w:r>
        <w:t>Dès lors qu'il s'agit d'un litige relevant du droit de la famille, la solution prévue par le premier juge, à savoir une répartition par moitié des frais judiciaires et la prise en charge par les parties de leurs propres dépens, apparaît adéquate et équitable, de sorte qu'elle sera confirmée (ch. 12 et 13 du dispositif du jugement attaqué).</w:t>
      </w:r>
    </w:p>
    <w:p>
      <w:r>
        <w:rPr>
          <w:b/>
        </w:rPr>
        <w:t>E. 4.2</w:t>
      </w:r>
    </w:p>
    <w:p>
      <w:r>
        <w:t>Les frais judiciaires de la procédure d'appel seront fixés à 800 fr. (art. 31 et 35 RTFMC).</w:t>
      </w:r>
    </w:p>
    <w:p>
      <w:r>
        <w:t>Compte tenu de la nature et de l'issue du litige, lesdits frais judiciaires seront répartis à parts égales entre les parties et chaque partie supportera ses propres dépens d'appel (art. 106 al. 2 et 107 al. 1 let. c CPC).Dans la mesure où les parties plaident au bénéfice de l'assistance juridique, leurs frais judiciaires seront provisoirement supportés par l'Etat de Genève (art. 122 al. 1 let. b CPC), étant rappelé que le bénéficiaire de l'assistance juridique est tenu au remboursement des frais judiciaires mis à la charge de l'Etat dans la mesure de l'art. 123 CPC (art. 19 RAJ). * * * * *</w:t>
      </w:r>
    </w:p>
    <w:p>
      <w:r>
        <w:t>- 12/13 -</w:t>
      </w:r>
    </w:p>
    <w:p>
      <w:r>
        <w:t>C/22317/2021 PAR CES MOTIFS, La Chambre civile : A la forme : Déclare recevable l'appel interjeté le 17 octobre 2022 par A______ contre les chiffres 6, 7, 9 et 15 du dispositif du jugement JTPI/11425/2022 rendu le 30 septembre 2022 par le Tribunal de première instance dans la cause C/22317/2021-19. Au fond : Annule les chiffres 9 et 15 du dispositif du jugement attaqué et, statuant à nouveau sur ces points : Condamne B______ à verser en mains de A______, à titre de contributions à l'entretien de leurs enfants C______ et D______, par mois, d'avance et par enfant, allocations familiales non comprises, 650 fr. du 3 décembre 2021 au 30 avril 2022, puis 480 fr. à compter du 1er mai 2022, sous déduction des montants déjà versés à ce titre. Condamne B______ à verser à A______, à titre de contribution à son entretien, la somme de 750 fr. pour la période de décembre 2021 à avril 2022. Confirme le jugement attaqué pour le surplus. Déboute les parties de toutes autres conclusions. Sur les frais : Arrête les frais judiciaires d'appel à 800 fr., les met à la charge de chacune des parties par moitié et dit qu'ils sont provisoirement supportés par l'Etat de Genève. Dit que chaque partie supporte ses propres dépens d'appel. Siégeant : Monsieur Ivo BUETTI, président; Madame Sylvie DROIN, Madame Nathalie RAPP, juges; Madame Jessica ATHMOUNI, greffière.</w:t>
      </w:r>
    </w:p>
    <w:p>
      <w:r>
        <w:t>- 13/13 -</w:t>
      </w:r>
    </w:p>
    <w:p>
      <w:r>
        <w:t>C/22317/2021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