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ACJC/588/2022 vom 31. Januar 2022</w:t>
      </w:r>
    </w:p>
    <w:p>
      <w:r>
        <w:t>GE Cour de justice, 2022-01-31, FR</w:t>
      </w:r>
    </w:p>
    <w:p>
      <w:r>
        <w:rPr>
          <w:b/>
        </w:rPr>
        <w:t xml:space="preserve">Quelle: </w:t>
      </w:r>
      <w:r>
        <w:t>https://mcp.opencaselaw.ch/entscheid/ge_gerichte_ACJC_588_2022</w:t>
      </w:r>
    </w:p>
    <w:p>
      <w:r>
        <w:t>FR: GE_GERICHTE ACJC/588/2022 du 31 janvier 2022</w:t>
      </w:r>
    </w:p>
    <w:p>
      <w:r>
        <w:t>IT: GE_GERICHTE ACJC/588/2022 del 31 gennaio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1.3</w:t>
      </w:r>
    </w:p>
    <w:p>
      <w:r>
        <w:t>Les allégations et pièces nouvelles sont irrecevables en procédure de recours (art. 326 al. 1 CPC). L'allégué nouveau et la pièce nouvelle produite devant la Cour sont dès lors irrecevables.</w:t>
      </w:r>
    </w:p>
    <w:p>
      <w:r>
        <w:rPr>
          <w:b/>
        </w:rPr>
        <w:t>E. 2</w:t>
      </w:r>
    </w:p>
    <w:p>
      <w:r>
        <w:t>La recourante reproche au Tribunal de ne pas avoir prononcé la mainlevée provisoire de l'opposition pour la totalité de la créance objet du poste 1 du commandement de payer qu'elle avait fait notifier à l'intimé.</w:t>
      </w:r>
    </w:p>
    <w:p>
      <w:r>
        <w:t>- 4/5 -</w:t>
      </w:r>
    </w:p>
    <w:p>
      <w:r>
        <w:t>C/19134/2021</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juge prononce la mainlevée provisoire si le débiteur ne rend pas immédiatement vraisemblable sa libération (art. 82 al. 2 LP).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(arrêt du Tribunal fédéral 5A_1017/2017 du 12 septembre 2018 consid. 4.1.1).</w:t>
      </w:r>
    </w:p>
    <w:p>
      <w:r>
        <w:rPr>
          <w:b/>
        </w:rPr>
        <w:t>E. 2.2</w:t>
      </w:r>
    </w:p>
    <w:p>
      <w:r>
        <w:t>En l'occurrence, les pièces produites en première instance établissent l'exigibilité de la dette souscrite par l'intimé, pour les mois échus à la date de l'établissement du commandement de payer, soit le 19 août 2021. En revanche, l'exigibilité de mensualités ultérieures dépendait, aux termes des conditions générales de la recourante, de la résiliation du contrat après une mise en demeure adressée à l'intimé et demeurée vaine. Or, le dossier soumis au premier juge ne comportait pas d'allégués à ce propos, ni de pièce établissant que l'intimé aurait été mis en demeure et que le contrat aurait été résilié.</w:t>
      </w:r>
    </w:p>
    <w:p>
      <w:r>
        <w:t>Partant le grief, fondé sur un allégué et une pièce irrecevables devant la Cour, est infondé.</w:t>
      </w:r>
    </w:p>
    <w:p>
      <w:r>
        <w:t>Le recours sera dès lors rejeté.</w:t>
      </w:r>
    </w:p>
    <w:p>
      <w:r>
        <w:rPr>
          <w:b/>
        </w:rPr>
        <w:t>E. 3</w:t>
      </w:r>
    </w:p>
    <w:p>
      <w:r>
        <w:t>La recourante, qui succombe, supportera les frais de son recours (art. 106 al. 1 CPC), arrêtés à 450 fr., compensés avec l'avance déjà opérée, acquise à l'Etat de Genève (art. 111 al.1 CPC). * * * * *</w:t>
      </w:r>
    </w:p>
    <w:p>
      <w:r>
        <w:t>- 5/5 -</w:t>
      </w:r>
    </w:p>
    <w:p>
      <w:r>
        <w:t>C/19134/2021 PAR CES MOTIFS, La Chambre civile : A la forme : Déclare recevable le recours formé par A______ SA contre le jugement JTPI/1232/2022 rendu le 31 janvier 2022 par le Tribunal de première instance dans la cause C/19134/2021-11 SML. Au fond : Rejette ce recours. Déboute les parties de toute autre conclusion. Sur les frais : Arrête les frais du recours à 450 fr., compensés avec l'avance déjà opérée, acquise à l'Etat de Genève. Les met à la charge de A______ SA.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