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ACJC/586/2020 vom 25. Mai 2020</w:t>
      </w:r>
    </w:p>
    <w:p>
      <w:r>
        <w:t>GE Cour de justice, 2020-05-25, FR</w:t>
      </w:r>
    </w:p>
    <w:p>
      <w:r>
        <w:rPr>
          <w:b/>
        </w:rPr>
        <w:t xml:space="preserve">Quelle: </w:t>
      </w:r>
      <w:r>
        <w:t>https://mcp.opencaselaw.ch/entscheid/ge_gerichte_ACJC_586_2020</w:t>
      </w:r>
    </w:p>
    <w:p>
      <w:r>
        <w:t>FR: GE_GERICHTE ACJC/586/2020 du 25 mai 2020</w:t>
      </w:r>
    </w:p>
    <w:p>
      <w:r>
        <w:t>IT: GE_GERICHTE ACJC/586/2020 del 25 maggio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w:t>
      </w:r>
    </w:p>
    <w:p>
      <w:r>
        <w:t>En l'espèce, devant le Tribunal le litige portait notamment sur la question du droit de visite de l'appelant, de sorte que l'affaire doit être considérée comme étant non pécuniaire dans son ensemble; la voie de l'appel est ouverte indépendamment de la valeur litigieuse (arrêt du Tribunal fédéral 5A_784/2018 du 8 janvier 2019 consid. 1).</w:t>
      </w:r>
    </w:p>
    <w:p>
      <w:r>
        <w:rPr>
          <w:b/>
        </w:rPr>
        <w:t>E. 1.2</w:t>
      </w:r>
    </w:p>
    <w:p>
      <w:r>
        <w:t>Formé dans le délai et selon la forme prescrits par la loi (art. 130, 131 et 311 al. 1 CPC), l'appel est recevable.</w:t>
      </w:r>
    </w:p>
    <w:p>
      <w:r>
        <w:t>- 8/14 -</w:t>
      </w:r>
    </w:p>
    <w:p>
      <w:r>
        <w:t>C/9225/2018</w:t>
      </w:r>
    </w:p>
    <w:p>
      <w:r>
        <w:rPr>
          <w:b/>
        </w:rPr>
        <w:t>E. 1.3</w:t>
      </w:r>
    </w:p>
    <w:p>
      <w:r>
        <w:t>La Cour revoit la cause avec un plein pouvoir d'examen (art. 310 CPC). Dans la mesure des conclusions prises en appel (art. 315 al. 1 CPC), elle établit les faits d'office (art. 270 CPC).</w:t>
      </w:r>
    </w:p>
    <w:p>
      <w:r>
        <w:t>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rPr>
          <w:b/>
        </w:rPr>
        <w:t>E. 1.4</w:t>
      </w:r>
    </w:p>
    <w:p>
      <w:r>
        <w:t>Dans les causes de droit matrimonial concernant les enfants mineurs, soumises à la maxime inquisitoire illimitée, les pièces nouvelles sont recevables, même si les conditions de l'art. 317 al. 1 CPC ne sont pas réunies (ATF 144 III 349 consid. 4.2.1).</w:t>
      </w:r>
    </w:p>
    <w:p>
      <w:r>
        <w:t>Les pièces nouvelles produites par les parties en appel, relatives à leur situation personnelle et financière pertinentes pour l'établissement des contributions d'entretien des enfants mineurs, sont recevables.</w:t>
      </w:r>
    </w:p>
    <w:p>
      <w:r>
        <w:rPr>
          <w:b/>
        </w:rPr>
        <w:t>E. 2</w:t>
      </w:r>
    </w:p>
    <w:p>
      <w:r>
        <w:t>L'appelant fait grief au Tribunal de ne pas avoir pris en compte dans ses charges les frais liés à l'exercice de son droit de visite et lui reproche le calcul des contributions d'entretien dues aux enfants et l'estimation de sa capacité financière à pouvoir les payer.</w:t>
      </w:r>
    </w:p>
    <w:p>
      <w:r>
        <w:rPr>
          <w:b/>
        </w:rPr>
        <w:t>E. 2.1.1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w:t>
      </w:r>
    </w:p>
    <w:p>
      <w:r>
        <w:t>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w:t>
      </w:r>
    </w:p>
    <w:p>
      <w:r>
        <w:t>Les charges d'un enfant, tout comme celles de ses parents, comprennent un montant de base selon les normes d'insaisissabilité, une participation aux frais du</w:t>
      </w:r>
    </w:p>
    <w:p>
      <w:r>
        <w:t>- 9/14 -</w:t>
      </w:r>
    </w:p>
    <w:p>
      <w:r>
        <w:t>C/9225/2018 logement, sa prime d'assurance-maladie, les frais de transports publics et d'autres frais effectifs (arrêt du Tribunal fédéral 5A_533/2010 du 24 novembre 2010 consid. 2.1; BASTONS BULLETTI, L'entretien après divorce : méthode de calcul, montant, durée et limites in SJ 2007 II p. 77 ss, p. 86 et 102). Si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(BASTONS BULLETTI, op. cit., n. 140 p. 102).</w:t>
      </w:r>
    </w:p>
    <w:p>
      <w:r>
        <w:t>Réservées exclusivement à l'entretien de l'enfant, les allocations familiales ne sont pas prises en compte dans le calcul du revenu du parent qui les reçoit; en revanche, elles doivent être déduites du coût d'entretien de l'enfant (ATF 137 III 59 consid. 4.2.3; arrêts du Tribunal fédéral 5A_632/2018 du 21 janvier 2019 consid. 5; 5A_848/2017 du 15 mai 2018 consid. 7).</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2.1.2</w:t>
      </w:r>
    </w:p>
    <w:p>
      <w:r>
        <w:t>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w:t>
      </w:r>
    </w:p>
    <w:p>
      <w:r>
        <w:rPr>
          <w:b/>
        </w:rPr>
        <w:t>E. 2.1.3</w:t>
      </w:r>
    </w:p>
    <w:p>
      <w:r>
        <w:t>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w:t>
      </w:r>
    </w:p>
    <w:p>
      <w:r>
        <w:t>- 10/14 -</w:t>
      </w:r>
    </w:p>
    <w:p>
      <w:r>
        <w:t>C/9225/2018 personnelles (arrêts du Tribunal fédéral 5A_964/2018 du 26 juin 2019 consid. 3.2.4; 5A_565/2016 du 16 février 2017 consid. 6.1; 5A_224/2016 du 13 juin 2016 consid. 5.3.2; 5A_246/2015 du 28 août 2015 consid. 4.4).</w:t>
      </w:r>
    </w:p>
    <w:p>
      <w:r>
        <w:rPr>
          <w:b/>
        </w:rPr>
        <w:t>E. 2.1.4</w:t>
      </w:r>
    </w:p>
    <w:p>
      <w:r>
        <w:t>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que le premier juge (arrêt du Tribunal fédéral 5A_804/2018 du 18 janvier 2019 consid. 3.2).</w:t>
      </w:r>
    </w:p>
    <w:p>
      <w:r>
        <w:rPr>
          <w:b/>
        </w:rPr>
        <w:t>E. 2.2.1</w:t>
      </w:r>
    </w:p>
    <w:p>
      <w:r>
        <w:t>En l'espèce, l'appelant fait grief au Tribunal d'avoir retenu qu'il réalisait un revenu de l'ordre de quelque 4'100 fr. par mois, voire qu'il était capable de réaliser un tel revenu.</w:t>
      </w:r>
    </w:p>
    <w:p>
      <w:r>
        <w:t>Or, à teneur des pièces nouvelles produites, l'appelant réalise désormais un revenu mensuel net avant impôt de quelque 4'500 fr.</w:t>
      </w:r>
    </w:p>
    <w:p>
      <w:r>
        <w:t>Il peut donc être mis fin au débat sur la question d'un revenu hypothétique ou d'un revenu dissimulé de l'appelant, étant précisé que, comme il sera vu ci-après, le nouveau revenu permet à l'appelant de couvrir les charges des enfants C______ et D______, en sus de ses propres charges et de celles de ses deux nouveaux enfants. Il s'ensuit que les réquisitions de preuve de l'intimée, qui tendent à démontrer l'existence de revenus ou de fortune dissimulés de l'appelant, seront rejetées.</w:t>
      </w:r>
    </w:p>
    <w:p>
      <w:r>
        <w:t>La prétendue incapacité de travail non démontrée de l'appelant n'est ainsi plus non plus d'actualité; il ne sera pas entré en matière à ce sujet.</w:t>
      </w:r>
    </w:p>
    <w:p>
      <w:r>
        <w:rPr>
          <w:b/>
        </w:rPr>
        <w:t>E. 2.2.2</w:t>
      </w:r>
    </w:p>
    <w:p>
      <w:r>
        <w:t>S'agissant ensuite des charges de l'appelant, la Cour retiendra ce qui suit :</w:t>
      </w:r>
    </w:p>
    <w:p>
      <w:r>
        <w:t>La séparation de l'appelant d'avec sa nouvelle compagne serait intervenue en octobre 2019. Cette séparation est contestée par l'intimée. La production d'une simple attestation signée par la compagne de l'appelant est insuffisante à la démontrer. En effet, le caractère probant d'une telle attestation est sujet à la plus grande caution, car la compagne a manifestement un intérêt à ce que l'appelant se voie mettre l'intégralité de leur loyer à sa charge, ce qui diminuerait la contribution payée aux enfants du premier lit. L'appelant aurait pu et dû produire une attestation de domiciliation ou une autre preuve tangible qui aurait permis de retenir que sa compagne, mère de deux enfants né en avril 2019, avait décidé de le quitter alors que ceux-ci avaient moins de six mois. Il ne sera ainsi pas tenu compte de la prétendue séparation de l'appelant d'avec sa nouvelle compagne.</w:t>
      </w:r>
    </w:p>
    <w:p>
      <w:r>
        <w:t>- 11/14 -</w:t>
      </w:r>
    </w:p>
    <w:p>
      <w:r>
        <w:t>C/9225/2018</w:t>
      </w:r>
    </w:p>
    <w:p>
      <w:r>
        <w:t>S'agissant de la prime d'assurance maladie de l'appelant, les chiffres retenus par le Tribunal (230 fr. par mois) sont corrects. Il n'y a donc pas lieu de s'en écarter. Les frais médicaux à sa charge à raison de 200 fr. arrondis par mois seront intégrés dans son budget, car il a démontré leur réalité et ils correspondent à la franchise élevée qu'il a souscrite.</w:t>
      </w:r>
    </w:p>
    <w:p>
      <w:r>
        <w:t>En outre, il est conforme à la pratique d'intégrer le prix d'un abonnement de transports publics régionaux dans le budget des parties. Le montant allégué de 79 fr. sera donc comptabilisé.</w:t>
      </w:r>
    </w:p>
    <w:p>
      <w:r>
        <w:t>S'agissant des frais de transport pour le droit de visite, l'appelant n'a jamais montré une quelconque régularité dans l'exercice de ce droit. Cependant, il ne doit pas être découragé de changer ses habitudes pour des raisons financières, ce qui pourrait advenir si l'on s'en tient à la décision du Tribunal qui impose à l'appelant de prélever sur son disponible les frais idoines. L'appelant estime ainsi que les frais de train pour deux visites mensuelles devraient être comptabilisées dans son budget, voire partagées avec l'intimée. Aucune circonstance ne justifie de s'écarter, en l'espèce, du principe selon lequel le parent qui exerce le droit de visite doit en couvrir les frais. En outre, les coûts de train pour les deux enfants se limitent aux cartes à prix modique qui permettent aux enfants de voyager gratuitement avec leurs parents. Enfin, au vu de l'exercice irrégulier du droit de visite et de l'absence de toute preuve de paiement d'un billet de train par l'appelant, il sera retenu, par appréciation, un montant mensuel de 130 fr. comprenant un aller-retour Genève-Berne demi-tarif et la participation correspondante à l'abonnement demi-tarif.</w:t>
      </w:r>
    </w:p>
    <w:p>
      <w:r>
        <w:t>Enfin, concernant les charges de ses enfants M______ et L______, le Tribunal a arrêté le montant à la charge de l'appelant à 450 fr. par mois pour les deux enfants. L'appelant fournit une estimation de ces charges similaires, soit 710 fr. par enfant dont à déduire encore 230 fr. d'allocations familiales versées dans le canton de Berne, ce qui représente, pour les deux enfants, 960 fr. au total (1'420 fr. – 460 fr.). Etant donné qu'aucune circonstance n'est plaidée qui empêcherait la mère des enfants de prendre en charge la moitié de leurs charges, voire plus, le montant arrêté par le Tribunal à charge de l'appelant, soit 450 fr., sera confirmé et intégré dans ses charges.</w:t>
      </w:r>
    </w:p>
    <w:p>
      <w:r>
        <w:t>Bien que les impôts de l'appelant soient prélevés à la source, il n'a pas démontré que, pour peu qu'il s'acquitte des contributions d'entretien dues, il doive payer effectivement des impôts, ce qui n'est pas vraisemblable au vu des charges de famille qu'il supporte et de la relative modicité de ses revenus. Aucun montant ne sera donc retenu pour des impôts. De surcroît, au vu de la situation financière serrée de la famille, il n'y a pas lieu de retenir un quelconque montant au titre d'impôt.</w:t>
      </w:r>
    </w:p>
    <w:p>
      <w:r>
        <w:t>- 12/14 -</w:t>
      </w:r>
    </w:p>
    <w:p>
      <w:r>
        <w:t>C/9225/2018</w:t>
      </w:r>
    </w:p>
    <w:p>
      <w:r>
        <w:t>Ainsi et pour résumer, les charges de l'appelant sont les suivantes : 850 fr. (moitié du montant de base LP pour un couple avec enfants), 560 fr. (part de 35% au loyer total de 1'600 fr., pour l'appartement loué à sa sœur, après déduction de la part de sa compagne et de leurs enfants), 230 fr. (assurance maladie), 200 fr. (frais médicaux à sa charge), 79 fr. (transports publics), 130 fr. (frais de train pour l'exercice du droit de visite) et 450 fr. (part des charges des enfants M______ et L______), soit au total 2'500 fr. arrondis.</w:t>
      </w:r>
    </w:p>
    <w:p>
      <w:r>
        <w:t>Le disponible mensuel de l'appelant est ainsi de 2'000 fr.</w:t>
      </w:r>
    </w:p>
    <w:p>
      <w:r>
        <w:rPr>
          <w:b/>
        </w:rPr>
        <w:t>E. 2.2.3</w:t>
      </w:r>
    </w:p>
    <w:p>
      <w:r>
        <w:t>L'appelant critique ensuite le calcul des charges des enfants C______ et D______, dans la mesure où les activités extrascolaires ne devraient pas être prises en compte et où les frais médicaux ne seraient pas des charges régulières. Il estime enfin que les coûts effectifs des enfants devraient être répartis entre les parents.</w:t>
      </w:r>
    </w:p>
    <w:p>
      <w:r>
        <w:t>Au sujet des activités extrascolaires des enfants C______ et D______, le Tribunal ne les a pas prises en compte de sorte que le grief de l'appelant est sans objet.</w:t>
      </w:r>
    </w:p>
    <w:p>
      <w:r>
        <w:t>Les frais médicaux non remboursés ont été suffisamment démontrés et font partie des charges incompressibles des enfants. Les griefs de l'appelant seront donc rejetés.</w:t>
      </w:r>
    </w:p>
    <w:p>
      <w:r>
        <w:t>Enfin, il ressort du dossier que l'intimée fournit la presqu'intégralité des soins quotidiens aux enfants, étant donné que le droit de visite, limité, dont bénéficie l'appelant n'est pas exercé ou n'est exercé que très aléatoirement. Il est donc conforme au droit que l'appelant supporte les coûts effectifs des enfants, ce qu'il est en mesure de faire. Par ailleurs, le Tribunal a envisagé une augmentation prévisible de ses revenus, ce qui est vraisemblable et lui permettra d'assumer l'augmentation des charges de ses enfants. Enfin, n'ayant fourni aucune indication sur la situation financière de sa compagne, il ne saurait prétendre se trouver dans une situation défavorable par rapport à l'intimée.</w:t>
      </w:r>
    </w:p>
    <w:p>
      <w:r>
        <w:t>S'agissant des griefs de l'intimée, ils n'ont pas à être examinés dans la mesure où elle n'a pas formé appel du jugement et que celui-ci est confirmé.</w:t>
      </w:r>
    </w:p>
    <w:p>
      <w:r>
        <w:t>Les charges des enfants seront confirmées, de même que les contributions d'entretien dues par l'appelant. Le disponible subsistant en mains de l'appelant lui permet de les régler.</w:t>
      </w:r>
    </w:p>
    <w:p>
      <w:r>
        <w:rPr>
          <w:b/>
        </w:rPr>
        <w:t>E. 2.2.4</w:t>
      </w:r>
    </w:p>
    <w:p>
      <w:r>
        <w:t>Le budget de l'intimée n'est pas concrètement remis en cause, ce point n'ayant aucune incidence sur l'issue du litige.</w:t>
      </w:r>
    </w:p>
    <w:p>
      <w:r>
        <w:rPr>
          <w:b/>
        </w:rPr>
        <w:t>E. 2.2.5</w:t>
      </w:r>
    </w:p>
    <w:p>
      <w:r>
        <w:t>La décision entreprise sera donc confirmée.</w:t>
      </w:r>
    </w:p>
    <w:p>
      <w:r>
        <w:t>- 13/14 -</w:t>
      </w:r>
    </w:p>
    <w:p>
      <w:r>
        <w:t>C/9225/2018</w:t>
      </w:r>
    </w:p>
    <w:p>
      <w:r>
        <w:rPr>
          <w:b/>
        </w:rPr>
        <w:t>E. 3.1</w:t>
      </w:r>
    </w:p>
    <w:p>
      <w:r>
        <w:t>Les frais d'appel seront arrêtés à 1'250 fr. (art. 30 et 35 RTFMC), mis à charge de l'appelant qui succombe (art. 106 al. 1 CPC) et laissés provisoirement à la charge de l'Etat, dès lors qu'il plaide au bénéfice de l'assistance judiciaire (art. 122 al. 1 let. b CPC). Son avance de 1'250 fr. lui sera donc restituée.</w:t>
      </w:r>
    </w:p>
    <w:p>
      <w:r>
        <w:rPr>
          <w:b/>
        </w:rPr>
        <w:t>E. 3.2</w:t>
      </w:r>
    </w:p>
    <w:p>
      <w:r>
        <w:t>L'appelant, qui succombe, sera condamné à verser des dépens de 1'250 fr. à l'intimée (art. 106 al. 1). * * * * *</w:t>
      </w:r>
    </w:p>
    <w:p>
      <w:r>
        <w:t>- 14/14 -</w:t>
      </w:r>
    </w:p>
    <w:p>
      <w:r>
        <w:t>C/9225/2018 PAR CES MOTIFS, La Chambre civile : A la forme : Déclare recevable l'appel interjeté le 27 septembre 2019 par A______ contre le jugement JTPI/11730/2019 rendu le 23 août 2019 par le Tribunal de première instance dans la cause C/9225/2018-10. Au fond : Confirme le jugement entrepris. Déboute les parties de toutes autres conclusions. Sur les frais : Arrête les frais d'appel à 1'250 fr., les met à la charge de A______, mais les laisse provisoirement à la charge de l'Etat. Invite les Services financiers du Pouvoir judiciaire à restituer à A______ son avance de frais de 1'250 fr. Condamne A______ à verser à B______ la somme de 1'250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