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ACJC/582/2016 vom 25. April 2016</w:t>
      </w:r>
    </w:p>
    <w:p>
      <w:r>
        <w:t>GE Cour de justice, 2016-04-25, FR</w:t>
      </w:r>
    </w:p>
    <w:p>
      <w:r>
        <w:rPr>
          <w:b/>
        </w:rPr>
        <w:t xml:space="preserve">Quelle: </w:t>
      </w:r>
      <w:r>
        <w:t>https://mcp.opencaselaw.ch/entscheid/ge_gerichte_ACJC_582_2016</w:t>
      </w:r>
    </w:p>
    <w:p>
      <w:r>
        <w:t>FR: GE_GERICHTE ACJC/582/2016 du 25 avril 2016</w:t>
      </w:r>
    </w:p>
    <w:p>
      <w:r>
        <w:t>IT: GE_GERICHTE ACJC/582/2016 del 25 aprile 2016</w:t>
      </w:r>
    </w:p>
    <w:p>
      <w:pPr>
        <w:pStyle w:val="Heading2"/>
      </w:pPr>
      <w:r>
        <w:t>Regeste</w:t>
      </w:r>
    </w:p>
    <w:p>
      <w:r>
        <w:t>Résumé: SOUS-LOCATION INITIALEMENT ILLICITE La sous-location ne doit pas aboutir à installer dans les locaux une personne que le bailleur a refusée en tant que locataire, puisqu'elle est conçue pour le locataire qui n'a temporairement plus l'usage de la chose louée et qui la remet provisoirement à un tiers pour se décharger du loyer. Une sous-location visant uniquement à permettre à un locataire refusé par le bailleur d'occuper les locaux est donc initialement illicite, puisque contraire au but poursuivi par le législateur.</w:t>
      </w:r>
    </w:p>
    <w:p>
      <w:pPr>
        <w:pStyle w:val="Heading2"/>
      </w:pPr>
      <w:r>
        <w:t>Volltext</w:t>
      </w:r>
    </w:p>
    <w:p>
      <w:r>
        <w:t>Résumé: SOUS-LOCATION INITIALEMENT ILLICITE La sous-location ne doit pas aboutir à installer dans les locaux une personne que le bailleur a refusée en tant que locataire, puisqu'elle est conçue pour le locataire qui n'a temporairement plus l'usage de la chose louée et qui la remet provisoirement à un tiers pour se décharger du loyer. Une sous-location visant uniquement à permettre à un locataire refusé par le bailleur d'occuper les locaux est donc initialement illicite, puisque contraire au but poursuivi par le législateur.</w:t>
      </w:r>
    </w:p>
    <w:p>
      <w:r>
        <w:t>Descripteurs: Descripteurs: BAIL À LOYER ; SOUS-LOCATION ; RÉSILIATION ANTICIPÉE</w:t>
      </w:r>
    </w:p>
    <w:p>
      <w:r>
        <w:t>Normes: Normes: CO.262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