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ACJC/580/2013 vom 17. Dezember 2012</w:t>
      </w:r>
    </w:p>
    <w:p>
      <w:r>
        <w:t>GE Cour de justice, 2012-12-17, FR</w:t>
      </w:r>
    </w:p>
    <w:p>
      <w:r>
        <w:rPr>
          <w:b/>
        </w:rPr>
        <w:t xml:space="preserve">Quelle: </w:t>
      </w:r>
      <w:r>
        <w:t>https://mcp.opencaselaw.ch/entscheid/ge_gerichte_ACJC_580_2013</w:t>
      </w:r>
    </w:p>
    <w:p>
      <w:r>
        <w:t>FR: GE_GERICHTE ACJC/580/2013 du 17 décembre 2012</w:t>
      </w:r>
    </w:p>
    <w:p>
      <w:r>
        <w:t>IT: GE_GERICHTE ACJC/580/2013 del 17 dicembre 2012</w:t>
      </w:r>
    </w:p>
    <w:p>
      <w:pPr>
        <w:pStyle w:val="Heading2"/>
      </w:pPr>
      <w:r>
        <w:t>Erwägungen</w:t>
      </w:r>
    </w:p>
    <w:p>
      <w:r>
        <w:rPr>
          <w:b/>
        </w:rPr>
        <w:t>E. 1.1</w:t>
      </w:r>
    </w:p>
    <w:p>
      <w:r>
        <w:t>La demande en paiement à l'origine de la présente procédure ayant été déposée après le 1er janvier 2011, le nouveau droit de procédure est applicable tant à la première qu'à la seconde instance (art. 404 et 405 CPC).</w:t>
      </w:r>
    </w:p>
    <w:p>
      <w:r>
        <w:rPr>
          <w:b/>
        </w:rPr>
        <w:t>E. 1.2</w:t>
      </w:r>
    </w:p>
    <w:p>
      <w:r>
        <w:t>L'appel formé par l'assurance (ci-après l'appelante) est recevable pour avoir été interjeté auprès de l'autorité compétente (art. 120 al. 1 let. a LOJ), dans le délai utile de 30 jours et selon la forme prescrite par la loi (art. 130, 131, 145 al. 1 let. c et 311 CPC), contre une décision finale de première instance (art. 308 al. 1 let. a CPC) qui statue sur des conclusions pécuniaires dont la valeur litigieuse est, compte tenu de la somme réclamée en première instance par l'assuré (ci-après l'intimé), supérieure à 10'000 fr. (art. 91 al. 1 et 308 al. 2 CPC).</w:t>
      </w:r>
    </w:p>
    <w:p>
      <w:r>
        <w:rPr>
          <w:b/>
        </w:rPr>
        <w:t>E. 1.3</w:t>
      </w:r>
    </w:p>
    <w:p>
      <w:r>
        <w:t>La Chambre de céans revoit la cause en fait et en droit avec un plein pouvoir d'examen (art. 310 CPC). Celle-ci est régie par les règles de la procédure ordinaire (art. 219 et ss CPC) et soumise aux maximes des débats et de disposition (art. 55 et 58 CPC).</w:t>
      </w:r>
    </w:p>
    <w:p>
      <w:r>
        <w:rPr>
          <w:b/>
        </w:rPr>
        <w:t>E. 1.4</w:t>
      </w:r>
    </w:p>
    <w:p>
      <w:r>
        <w:t>La Cour de céans demandant systématiquement, en cas d'appel, le dossier de première instance à l'autorité précédente, la requête de l'appelante tendant à la production dudit dossier est sans objet (art. 327 al. 1 CPC applicable par analogie).</w:t>
      </w:r>
    </w:p>
    <w:p>
      <w:r>
        <w:t>Il ne justifie par ailleurs pas de donner suite à la demande de l'appelante tendant à l'audition de G______ en qualité de témoin. En effet, cette audition a déjà été refusée par le Tribunal de première instance par ordonnance du 27 septembre 2012 et l'appelante n'émet, dans le cadre de son mémoire d'appel, aucun grief contre cette décision (art. 315 al. 1 CPC). Au demeurant, cette dernière n'explique pas en quoi cette mesure d'instruction serait de nature à influer sur l'issue du litige,</w:t>
      </w:r>
    </w:p>
    <w:p>
      <w:r>
        <w:t>- 9/14 -</w:t>
      </w:r>
    </w:p>
    <w:p>
      <w:r>
        <w:t>C/8589/2011 étant précisé que le Tribunal de première instance n'a pas pris en compte le témoignage de I______ au sujet de la garantie orale qu'aurait donnée G______ concernant la couverture d'assurance et que cet aspect n'a pas été remis en cause devant l'autorité de céans (cf. consid. 2).</w:t>
      </w:r>
    </w:p>
    <w:p>
      <w:r>
        <w:rPr>
          <w:b/>
        </w:rPr>
        <w:t>E. 2</w:t>
      </w:r>
    </w:p>
    <w:p>
      <w:r>
        <w:t>Il est constant que les parties étaient liées par un contrat d'assurance portant notamment sur une assurance casco complète pour véhicule automobile.</w:t>
      </w:r>
    </w:p>
    <w:p>
      <w:r>
        <w:t>Les parties ne critiquant pas la décision du premier juge de ne pas tenir compte du témoignage de I______ au sujet de la garantie orale qu'aurait donnée G______ concernant la couverture d'assurance, il n'y a pas lieu de revenir sur ce point. Cet élément factuel ne sera donc pas pris en considération pour statuer sur le litige qui les oppose.</w:t>
      </w:r>
    </w:p>
    <w:p>
      <w:r>
        <w:rPr>
          <w:b/>
        </w:rPr>
        <w:t>E. 3.1</w:t>
      </w:r>
    </w:p>
    <w:p>
      <w:r>
        <w:t>L'appelante reproche en substance au premier juge d'avoir procédé à une interprétation erronée de l'art. 13 CGA Ca 2007 ainsi qu'à une qualification inexacte de la manifestation à laquelle l'intimé participait au moment où le sinistre s'est produit. Selon lui, cette manifestation doit être assimilée à un entraînement sur un parcours de course, activité exclue de la couverture d'assurance selon le texte clair de la clause contractuelle précitée. L'intimé, pour sa part, adhère au raisonnement du premier juge.</w:t>
      </w:r>
    </w:p>
    <w:p>
      <w:r>
        <w:rPr>
          <w:b/>
        </w:rPr>
        <w:t>E. 3.2</w:t>
      </w:r>
    </w:p>
    <w:p>
      <w:r>
        <w:t>Les conditions générales d'assurance qui ont été expressément incorporées au contrat doivent être interprétées selon les mêmes principes juridiques que les autres dispositions contractuelles (ATF 135 III 1 consid. 2 p. 6; 133 III 675 consid. 3.3 p. 681). 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135 III 410 consid. 3.2 p. 412 s.). Lorsque l'assureur, au moment de conclure, présente des conditions générales, il manifeste la volonté de s'engager selon les termes de ces conditions. Lorsqu'une volonté réelle concordante n'a pas été constatée, il faut donc se demander</w:t>
      </w:r>
    </w:p>
    <w:p>
      <w:r>
        <w:t>- 10/14 -</w:t>
      </w:r>
    </w:p>
    <w:p>
      <w:r>
        <w:t>C/8589/2011 comment le destinataire de cette manifestation de volonté pouvait la comprendre de bonne foi. Cela conduit à une interprétation objective des termes contenus dans les conditions générales, même si elle ne correspond pas à la volonté intime de l'assureur. Dans le domaine particulier du contrat d'assurance, l'art. 33 LCA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du contrat et des conditions générales incorporées à celui-ci; si l'assureur entend apporter des restrictions ou des exceptions, il lui incombe de le dire clairement. Conformément au principe de la confiance, c'est à l'assureur qu'il incombe de délimiter la portée de l'engagement qu'il entend prendre et le preneur n'a pas à supposer des restrictions qui ne lui ont pas été clairement présentées (ATF 133 III 675 consid. 3.3 p. 682; sous une forme résumée: ATF 135 III 410 consid. 3.2 p. 413). Lorsqu'il subsiste un doute sur le sens de dispositions rédigées par l'assureur, telles que des conditions générales préformulées, celles-ci sont à interpréter en défaveur de leur auteur ("in dubio contra stipulatorem"; ATF 122 III 118 consid. 2a p. 121; 119 II 368 consid. 4b p. 372; 118 II 342 consid. 1a p. 344). Cette règle ne trouve toutefois application que si le texte concerné peut être compris de différentes façons ("zweideutig") et qu'il est impossible de lever le doute créé par les moyens d'une interprétation ordinaire (ATF 122 III 118 consid. 2d p. 124; 118 II 342 consid. 1a p. 344).</w:t>
      </w:r>
    </w:p>
    <w:p>
      <w:r>
        <w:t>Une clause d'exclusion doit être interprétée restrictivement (ATF 118 II 342 consid. 1a p. 344).</w:t>
      </w:r>
    </w:p>
    <w:p>
      <w:r>
        <w:rPr>
          <w:b/>
        </w:rPr>
        <w:t>E. 3.3</w:t>
      </w:r>
    </w:p>
    <w:p>
      <w:r>
        <w:t>En l'espèce, les parties s'opposent sur la manière dont la clause d'exclusion visée à l'art. 13 let. c CGA Ca 2007, laquelle faisait partie intégrante du contrat d'assurance qui les liait au moment de la survenance du sinistre, doit être interprétée.</w:t>
      </w:r>
    </w:p>
    <w:p>
      <w:r>
        <w:t>S'il ressort du témoignage de I______ - dont les déclarations, faites sous serment, ne sauraient être remises en cause en l'absence d'éléments concrets au dossier permettant de retenir qu'elles ne seraient pas conformes à la vérité - que l'appelante a été informée de l'intention de l'intimé d'utiliser la E______ pour circuler sur des circuits ainsi que des équipements sportifs installés sur ce véhicule, il n'apparaît toutefois pas que les parties auraient négocié ou discuté le contenu de l'art. 13 let. c CGA Ca 2007. Par ailleurs, ni la proposition d'assurance ni la police d'assurance ne font état d'une garantie particulière relativement à la conduite sur circuit. Il ne peut ainsi être retenu qu'il existerait une volonté réelle et concordante des parties au sujet de la manière dont l'art. 13 let. c CGA Ca 2007 doit être interprété.</w:t>
      </w:r>
    </w:p>
    <w:p>
      <w:r>
        <w:t>- 11/14 -</w:t>
      </w:r>
    </w:p>
    <w:p>
      <w:r>
        <w:t>C/8589/2011 Il convient donc de procéder à une interprétation objective de cette clause contractuelle selon la théorie de la confiance.</w:t>
      </w:r>
    </w:p>
    <w:p>
      <w:r>
        <w:t>L'article litigieux prévoit une exclusion de couverture pour les dommages survenus "lors de participation à des courses de vitesse, rallyes et autres compétitions semblables, y compris l'entrainement sur le parcours ". Il précise toutefois que " l'assurance est valable pour les courses d'orientation et d'adresse ("gymkhanas") ainsi que pendant la participation aux cours de perfectionnement prescrits juridiquement pour des nouveaux conducteurs".</w:t>
      </w:r>
    </w:p>
    <w:p>
      <w:r>
        <w:t>Ainsi que l'a à juste titre relevé le premier juge, une activité doit, selon le langage courant, pour être qualifiée de "courses de vitesse, rallyes et autres compétitions semblables", nécessairement comporter des éléments de compétition, soit l'opposition de plusieurs concurrents, de vitesse ainsi que de résultat.</w:t>
      </w:r>
    </w:p>
    <w:p>
      <w:r>
        <w:t>Par ailleurs, selon le sens ordinaire des mots, le terme "entraînement" doit être compris comme la préparation à une compétition. Il convient ainsi de retenir, sur la base d'une interprétation objective, que la formulation "y compris l'entrainement sur le parcours" vise uniquement les parcours effectués en vue de la préparation à une course de vitesse, à un rallye ou à une autre compétition semblable comportant des éléments de vitesse avec mesure du temps.</w:t>
      </w:r>
    </w:p>
    <w:p>
      <w:r>
        <w:t>Il ressort du dossier que lors de la manifestation du 24 avril 2010, l'intimé ne s'est inscrit et n'a participé qu'aux séances de roulage non chronométrées. Ces séances, organisées par un club automobile, étaient destinées aux amateurs de conduite sur circuit et avaient pour but de leur offrir un moment de divertissement. L'intimé y participait afin de pouvoir manœuvrer sa E______ dans un milieu adapté et améliorer sa technique de conduite. Il ne s'agissait ainsi nullement d'une course de vitesse, d'un rallye ou d'une autre compétition semblable dans la mesure où les participants n'étaient pas en concurrence et où aucun classement n'a été effectué à la fin des séances de roulage. De même, cette manifestation n'entrait pas dans la définition "d'entrainement sur le parcours" puisque l'intimé n'a pas participé aux essais chronométrés ainsi qu'aux courses qui s'en sont suivies. A cet égard, le fait que certains des conducteurs présents aux sessions de roulage non chronométrées auraient également concouru aux essais chronométrés et aux courses est sans pertinence. En effet, outre que cet élément factuel n'est pas établi, seul est déterminant le but poursuivi par les sessions de conduite auxquelles l'intimé a participé. Or, aucun des éléments figurant au dossier ne permet de retenir que celles-ci revêtaient les caractéristiques des activités exclues par l'art. 13 let. c CGA Ca 2007. Il convient ainsi d'admettre que l'intimé pouvait de bonne foi, à la lecture de la clause litigieuse, comprendre que sa participation à la manifestation du 24 avril</w:t>
      </w:r>
    </w:p>
    <w:p>
      <w:r>
        <w:t>- 12/14 -</w:t>
      </w:r>
    </w:p>
    <w:p>
      <w:r>
        <w:t>C/8589/2011 2010 n'entrait pas dans le champ d'application des exclusions visées à l'art. 13 let. c CGA Ca 2007.</w:t>
      </w:r>
    </w:p>
    <w:p>
      <w:r>
        <w:t>Enfin, il importe peu de déterminer si cette manifestation constitue ou non une "course d'orientation et d'adresse", dès lors que même en admettant que tel ne soit pas le cas, l'appelante ne serait pas libérée de son obligation d'indemnisation. En effet, compte tenu de l'interprétation restrictive qui doit être faite des clauses d'exclusion, la couverture d'assurance doit être considérée comme donnée lorsque les circonstances du sinistre n'entrent dans aucune des hypothèses envisagées par l'assurance.</w:t>
      </w:r>
    </w:p>
    <w:p>
      <w:r>
        <w:t>Au vu de ce qui précède, c'est à juste titre que le premier juge a retenu que l'art. 13 let. c CGA Ca 2007 ne trouvait pas application dans le cas d'espèce et partant que le dommage subi par l'intimé lors de l'accident du 24 avril 2010 était couvert par la police d'assurance contractée auprès de l'appelante.</w:t>
      </w:r>
    </w:p>
    <w:p>
      <w:r>
        <w:rPr>
          <w:b/>
        </w:rPr>
        <w:t>E. 4.1</w:t>
      </w:r>
    </w:p>
    <w:p>
      <w:r>
        <w:t>Reste encore à examiner si l'appelante peut se prévaloir de l'existence d'une prétention frauduleuse pour refuser toute indemnisation. Cette dernière soutient en effet que l'intimé aurait tenté de l'induire en erreur en lui donnant, dans ses courriels des 3 et 6 mai 2010, des informations inexactes et incomplètes sur le lieu et les circonstances de l'accident du 24 avril 2010 de nature à lui faire croire que le sinistre était intervenu sur la voie publique et non sur un circuit.</w:t>
      </w:r>
    </w:p>
    <w:p>
      <w:r>
        <w:t>L'intimé, pour sa part, reprend à son compte le raisonnement juridique du premier juge.</w:t>
      </w:r>
    </w:p>
    <w:p>
      <w:r>
        <w:rPr>
          <w:b/>
        </w:rPr>
        <w:t>E. 4.2</w:t>
      </w:r>
    </w:p>
    <w:p>
      <w:r>
        <w:t>Sous le titre marginal "prétention frauduleuse", l'art. 40 LCA prévoit que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 39 LCA, l'assureur n'est pas lié par le contrat envers l'ayant droit (ATF 131 III 314 consid. 2.1). L'application de cette disposition présuppose ainsi d'abord, d'un point de vue objectif, que la dissimulation ou la déclaration inexacte porte sur des faits qui sont propres à influencer l'existence ou l'étendue de l'obligation de l'assureur, autrement dit, que sur la base d'une déclaration correcte des faits en question, l'assureur n'ait à verser qu'une prestation moindre ou même aucune prestation. Il faut en outre, d'un point de vue subjectif, que l'ayant droit ait agi avec la conscience et la volonté d'induire l'assureur en erreur, sans qu'il importe qu'il soit parvenu ou non à ses fins (arrêt du Tribunal fédéral 4A_17/2011 du 14 mars 2011, consid. 2).</w:t>
      </w:r>
    </w:p>
    <w:p>
      <w:r>
        <w:t>- 13/14 -</w:t>
      </w:r>
    </w:p>
    <w:p>
      <w:r>
        <w:t>C/8589/2011 L'art. 40 LCA formule un moyen libératoire pour l'assureur, de sorte qu'il incombe à ce dernier de prouver les faits permettant l'application de cette disposition (arrêt du Tribunal fédéral 4A_671/2010 du 25 mars 2011, consid. 2.6).</w:t>
      </w:r>
    </w:p>
    <w:p>
      <w:r>
        <w:t>Lorsque les conditions de l'art. 40 LCA sont réunies, l'assureur peut refuser toute prestation (arrêt du Tribunal fédéral 4A_671/2010 du 25 mars 2011, consid. 2.6 et 4A_17/2011 du 14 mars 2011, consid. 2).</w:t>
      </w:r>
    </w:p>
    <w:p>
      <w:r>
        <w:rPr>
          <w:b/>
        </w:rPr>
        <w:t>E. 4.3</w:t>
      </w:r>
    </w:p>
    <w:p>
      <w:r>
        <w:t>En l'espèce, la question de savoir si l'intimé ou son représentant ont, dans les courriels des 3 et 6 mai 2010, dissimulé ou déclaré inexactement des faits dans le but d'induire l'appelante en erreur sur les circonstances du sinistre peut demeurer indécise, dès lors que le fait que l'assuré effectuait, lors de la survenance de l'accident, des séances de roulage sur un circuit n'était, ainsi que cela a été exposé supra (cf. consid. 3.3), pas de nature à entraîner une suppression ou une diminution de l'obligation d'assurance.</w:t>
      </w:r>
    </w:p>
    <w:p>
      <w:r>
        <w:t>Les conditions d'application de l'art. 40 LCA ne sont par conséquent pas réunies.</w:t>
      </w:r>
    </w:p>
    <w:p>
      <w:r>
        <w:rPr>
          <w:b/>
        </w:rPr>
        <w:t>E. 5</w:t>
      </w:r>
    </w:p>
    <w:p>
      <w:r>
        <w:t>Le premier juge a arrêté le montant du dommage subi par l'intimé consécutivement à l'accident du 24 avril 2010 à 48'810 fr. 70 et a fixé le point de départ des intérêts moratoires à cette dernière date. Ce raisonnement n'étant pas critiqué par les parties, il n'y a pas lieu d'y revenir.</w:t>
      </w:r>
    </w:p>
    <w:p>
      <w:r>
        <w:t>Au vu de ce qui précède, l'appel sera rejeté et le jugement entrepris confirmé.</w:t>
      </w:r>
    </w:p>
    <w:p>
      <w:r>
        <w:rPr>
          <w:b/>
        </w:rPr>
        <w:t>E. 6</w:t>
      </w:r>
    </w:p>
    <w:p>
      <w:r>
        <w:t>Les frais judiciaires de l'appel seront arrêtés à 3'000 fr. (art. 17 et 35 du Règlement fixant le tarif des frais en matière civile [RTFMC]) et mis à la charge de l'appelante qui succombe dans ses conclusions (art. 106 al. 1 CPC). Ils seront entièrement compensés avec l'avance de frais, d'un montant correspondant, fournie par cette dernière, laquelle reste acquise à l'Etat de Genève (art. 111 al. 1 CPC).</w:t>
      </w:r>
    </w:p>
    <w:p>
      <w:r>
        <w:t>L'appelante sera par ailleurs condamnée à s'acquitter des dépens de sa partie adverse, lesquels seront arrêtés à 3'500 fr. (art. 85 et 90 RTFMC). * * * * *</w:t>
      </w:r>
    </w:p>
    <w:p>
      <w:r>
        <w:t>- 14/14 -</w:t>
      </w:r>
    </w:p>
    <w:p>
      <w:r>
        <w:t>C/8589/2011 PAR CES MOTIFS, La Chambre civile : A la forme : Déclare recevable l'appel interjeté par A______ contre le jugement JTPI/18617/2012 rendu le 17 décembre 2012 par le Tribunal de première instance dans la cause C/8589/2011-6. Au fond : Confirme ce jugement. Déboute les parties de toutes autres conclusions. Sur les frais : Arrête les frais judiciaires de l'appel à 3'000 fr. et dit qu'ils sont entièrement compensés avec l'avance de frais, d'un montant correspondant, fournie par A______, laquelle reste acquise à l'Etat de Genève. Les met à la charge de A______. Condamne A______ à verser à C______ la somme de 3'500 fr. à titre de dépens. Siégeant : Monsieur Jean RUFFIEUX, président; Madame Ariane WEYENETH et Madame Elena SAMPEDRO, juges; Madame Nathalie DESCHAMPS, greffière.</w:t>
      </w:r>
    </w:p>
    <w:p>
      <w:r>
        <w:t>Le président : Jean RUFFIEUX</w:t>
      </w:r>
    </w:p>
    <w:p>
      <w:r>
        <w:t>La greffière : Nathalie DESCHAMPS</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