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ACJC/57/2014 vom 16. Oktober 2013</w:t>
      </w:r>
    </w:p>
    <w:p>
      <w:r>
        <w:t>GE Cour de justice, 2013-10-16, FR</w:t>
      </w:r>
    </w:p>
    <w:p>
      <w:r>
        <w:rPr>
          <w:b/>
        </w:rPr>
        <w:t xml:space="preserve">Quelle: </w:t>
      </w:r>
      <w:r>
        <w:t>https://mcp.opencaselaw.ch/entscheid/ge_gerichte_ACJC_57_2014</w:t>
      </w:r>
    </w:p>
    <w:p>
      <w:r>
        <w:t>FR: GE_GERICHTE ACJC/57/2014 du 16 octobre 2013</w:t>
      </w:r>
    </w:p>
    <w:p>
      <w:r>
        <w:t>IT: GE_GERICHTE ACJC/57/2014 del 16 ottobre 2013</w:t>
      </w:r>
    </w:p>
    <w:p>
      <w:pPr>
        <w:pStyle w:val="Heading2"/>
      </w:pPr>
      <w:r>
        <w:t>Erwägungen</w:t>
      </w:r>
    </w:p>
    <w:p>
      <w:r>
        <w:rPr>
          <w:b/>
        </w:rPr>
        <w:t>E. 1.1</w:t>
      </w:r>
    </w:p>
    <w:p>
      <w:r>
        <w:t>Aux termes de l'art. 405 al. 1 CPC, les recours sont régis par le droit en vigueur au moment de la communication de la décision entreprise. Cette disposition s'applique à toute décision communiquée après le 1er janvier 2011, qu'elle soit incidente ou finale. Que la procédure au fond poursuive son cours selon l'ancien droit de procédure en vertu de l'art. 404 al. 1 CPC est à cet égard sans incidence (ATF 138 III 41 consid. 1.2.2 et les arrêts cités; 137 III 424 consid. 2.3.2, reproduit in RSPC 2011 p. 489 ss). Le jugement querellé ayant été communiqué le 17 octobre 2013, le CPC est applicable à la présente procédure de recours. En revanche, la procédure de première instance, qui a débuté en 2010, reste régie par l'ancien droit de procédure (art. 404 al. 1 CPC; arrêt du Tribunal fédéral 5A_754/2011 du 2 juillet 2012 consid. 2, non publié aux ATF 138 III 520), soit par l'ancienne loi genevoise de procédure civile du 10 avril 1987 (ci-après: aLPC).</w:t>
      </w:r>
    </w:p>
    <w:p>
      <w:r>
        <w:rPr>
          <w:b/>
        </w:rPr>
        <w:t>E. 1.2</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La décision de refus de suspension ne peut, en revanche, faire l'objet que du recours de l'art. 319 let. b ch. 2 CPC, le recourant devant démontrer le préjudice</w:t>
      </w:r>
    </w:p>
    <w:p>
      <w:r>
        <w:t>- 7/10 -</w:t>
      </w:r>
    </w:p>
    <w:p>
      <w:r>
        <w:t>C/30177/2010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w:t>
      </w:r>
    </w:p>
    <w:p>
      <w:r>
        <w:rPr>
          <w:b/>
        </w:rPr>
        <w:t>E. 1.3</w:t>
      </w:r>
    </w:p>
    <w:p>
      <w:r>
        <w:t>Le recours, écrit et motivé, doit être introduit dans les dix jours à compter de la notification de la décision motivée (art. 321 al. 2 CPC). En l'espèce, le recours a été introduit dans les délai et forme prescrits par la loi, par une partie qui dispose d'un intérêt à agir (art. 59 al. 2 let. a CPC). Il est donc recevable sous cet angle. Reste à déterminer si le jugement querellé est susceptible de causer un préjudice difficilement réparable à la recourante.</w:t>
      </w:r>
    </w:p>
    <w:p>
      <w:r>
        <w:rPr>
          <w:b/>
        </w:rPr>
        <w:t>E. 2.1</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Bohnet/Haldy/Jeandin/Schweizer/Tappy [éd.], 2011, n. 22 ad art. 319 CPC; COLOMBINI, op. cit., in JdT 2013 III p. 155).</w:t>
      </w:r>
    </w:p>
    <w:p>
      <w:r>
        <w:t>Une simple prolongation de la procédure ou un accroissement des frais ne constitue pas un préjudice difficilement réparable (ACJC/111/2012 du 26 janvier 2012 consid. 2; Spühler, in Basler Kommentar, Schweizerische Zivil- prozessordnung, 2ème éd., 2013, n. 7 ad art. 319 CPC; HOFFMANN-NOWOTNY, in ZPO-Rechtsmittel, Berufung und Beschwerde, Kunz/Hoffmann-Nowotny/Stauber [éd], 2013, n. 25 ad art. 319 CPC).</w:t>
      </w:r>
    </w:p>
    <w:p>
      <w:r>
        <w:rPr>
          <w:b/>
        </w:rPr>
        <w:t>E. 2.2</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in Code de procédure civile commenté, Bohnet/Haldy/ Jeandin/Schweizer/Tappy [éd.], 2011, n. 9 ad art. 126 CPC).</w:t>
      </w:r>
    </w:p>
    <w:p>
      <w:r>
        <w:t>- 8/10 -</w:t>
      </w:r>
    </w:p>
    <w:p>
      <w:r>
        <w:t>C/30177/2010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2010, n. 13 ad art. 319 CPC; BLICKENSTORFER, in Schweizerische Zivilprozessordnung [ZPO], Brunner/ Gasser/Schwander [éd.], 2011, n. 40 ad art. 319 CPC).</w:t>
      </w:r>
    </w:p>
    <w:p>
      <w:r>
        <w:rPr>
          <w:b/>
        </w:rPr>
        <w:t>E. 2.3</w:t>
      </w:r>
    </w:p>
    <w:p>
      <w:r>
        <w:t>En l'espèce, la recourante ne discute pas la condition du préjudice difficilement réparable, se bornant à motiver son recours sous l'angle de la violation de l'art. 107 aLPC par le premier juge. Au regard des principes susrappelés, une telle motivation apparaît insuffisante et doit conduire à l'irrecevabilité du recours. Eût-il fallu examiner ladite condition que l'irrecevabilité du recours aurait également dû être constatée. Le refus de suspension querellé ne cause, en effet, aucun préjudice difficilement réparable à la recourante. En particulier, le fait que la cause soit remise à plaider sur le fond sans que la question de la récusation du juge ayant statué sur l'effet suspensif assortissant le recours contre l'ordonnance du 3 juin 2013 ne soit tranchée et sans qu'une nouvelle décision sur effet suspensif ni un arrêt sur le fond du recours ne soient rendus ne prétérite pas les droits de la recourante. La clôture de la procédure d'expertise du bateau de l'intimé, respectivement le refus de mise en œuvre d'une telle expertise, pourra, en effet, être remis en cause dans le cadre d'un appel contre la décision finale. Partant, la suspension n'apparaît pas opportune au regard du principe de célérité et n'est justifiée par aucune circonstance impérieuse. De ce point de vue, la balance des intérêts opérée par le premier juge entre, d'une part, la nécessité de statuer dans un délai raisonnable et, d'autre part, le risque de décisions contradictoires n'apparaît pas critiquable. C'est le lieu de rappeler que, selon la jurisprudence, la suspension – qui relève du pouvoir d'appréciation du juge saisi – ne doit être admise qu'exceptionnellement, l'exigence de célérité l'emportant dans les cas limites (ATF 119 II 386 consid. 1b; arrêts du Tribunal fédéral 5A_218/2013 du 17 avril 2013 consid. 3; 5A_773/2012 du 31 janvier 2013 consid. 4.2.2). Le principe de célérité qui découle de l'art. 29 al. 1 Cst. pose ainsi des limites à la suspension d'une procédure jusqu'à droit connu sur le sort d'une procédure parallèle (arrêt du Tribunal fédéral 4P.143/2003 du 16 septembre 2003, publié in SJ 2004 I 146).</w:t>
      </w:r>
    </w:p>
    <w:p>
      <w:r>
        <w:rPr>
          <w:b/>
        </w:rPr>
        <w:t>E. 3</w:t>
      </w:r>
    </w:p>
    <w:p>
      <w:r>
        <w:t>La recourante, qui succombe, sera condamnée aux frais judiciaires du recours et de l'incident, ceux-ci étant fixés à 1'200 fr. (art. 104 al. 1, 105 et 106 al. 1 CPC, art. 41 du Règlement fixant le tarif des greffes en matière civile [RTFMC; E 1 05.10]). Ils sont ainsi couverts par l'avance de frais opérée par la recourante, qui reste acquise à l'Etat (art. 111 CPC).</w:t>
      </w:r>
    </w:p>
    <w:p>
      <w:r>
        <w:t>- 9/10 -</w:t>
      </w:r>
    </w:p>
    <w:p>
      <w:r>
        <w:t>C/30177/2010 S'agissant d'un litige qui relève du droit de la famille, chaque partie conservera ses propres dépens à sa charge (art. 107 al. 1 let. c CPC). * * * * *</w:t>
      </w:r>
    </w:p>
    <w:p>
      <w:r>
        <w:t>- 10/10 -</w:t>
      </w:r>
    </w:p>
    <w:p>
      <w:r>
        <w:t>C/30177/2010 PAR CES MOTIFS, La Chambre civile : Déclare irrecevable le recours interjeté par A______ contre le jugement rendu le 16 octobre 2013 par le Tribunal de première instance dans la cause C/30177/2010-17. Arrête les frais judiciaires du recours et de l'incident à 1'200 fr. Les met à la charge de A______ et dit qu'ils sont entièrement compensés par l'avance de frais déjà opérée par cette dernière, qui reste acquise à l'Etat. Dit que chaque partie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