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ACJC/579/2020 vom 20. Mai 2020</w:t>
      </w:r>
    </w:p>
    <w:p>
      <w:r>
        <w:t>GE Cour de justice, 2020-05-20, FR</w:t>
      </w:r>
    </w:p>
    <w:p>
      <w:r>
        <w:rPr>
          <w:b/>
        </w:rPr>
        <w:t xml:space="preserve">Quelle: </w:t>
      </w:r>
      <w:r>
        <w:t>https://mcp.opencaselaw.ch/entscheid/ge_gerichte_ACJC_579_2020</w:t>
      </w:r>
    </w:p>
    <w:p>
      <w:r>
        <w:t>FR: GE_GERICHTE ACJC/579/2020 du 20 mai 2020</w:t>
      </w:r>
    </w:p>
    <w:p>
      <w:r>
        <w:t>IT: GE_GERICHTE ACJC/579/2020 del 20 maggio 2020</w:t>
      </w:r>
    </w:p>
    <w:p>
      <w:pPr>
        <w:pStyle w:val="Heading2"/>
      </w:pPr>
      <w:r>
        <w:t>Erwägungen</w:t>
      </w:r>
    </w:p>
    <w:p>
      <w:r>
        <w:rPr>
          <w:b/>
        </w:rPr>
        <w:t>E. 1.1</w:t>
      </w:r>
    </w:p>
    <w:p>
      <w:r>
        <w:t>Selon l'art. 308 CPC, l'appel est recevable contre les décisions finales de première instance (al. 1 let. a) lorsque, dans les affaires patrimoniales, la valeur litigieuse au dernier état des conclusions est de 10'000 fr. au moins (al. 2). La valeur litigieuse étant, en l'espèce, supérieure à 10'000 fr., la voie de l'appel est ouverte. L'appel, écrit et motivé, a été introduit auprès de l'instance d'appel dans les 30 jours à compter de la notification de la décision motivée (art. 311 al. 1, 142 al. 1 et 3, 143 al. 1 et 145 al. 1 let. b CPC). Il est ainsi recevable.</w:t>
      </w:r>
    </w:p>
    <w:p>
      <w:r>
        <w:rPr>
          <w:b/>
        </w:rPr>
        <w:t>E. 1.2</w:t>
      </w:r>
    </w:p>
    <w:p>
      <w:r>
        <w:t>La Cour revoit la cause avec plein pouvoir d'examen (art. 310 CPC) dans la limite des griefs suffisamment motivés qui sont formulés (arrêts du Tribunal fédéral 4A_290/2014 du 1er septembre 2014 consid. 5; 5A_89/2014 du 15 avril 2011 consid. 5.3.2). Elle applique la maxime des débats et le principe de disposition (art. 55 al. 1 et 58 al. 1 CPC).</w:t>
      </w:r>
    </w:p>
    <w:p>
      <w:r>
        <w:rPr>
          <w:b/>
        </w:rPr>
        <w:t>E. 1.3</w:t>
      </w:r>
    </w:p>
    <w:p>
      <w:r>
        <w:t>L'appel doit être motivé (art. 311 al. 1 CPC). La motivation est une condition de recevabilité de l'appel qui doit être examinée d'office. Si elle fait défaut, le tribunal cantonal supérieur n'entre pas en matière sur l'appel (arrêt du Tribunal fédéral 4A_651/2012 du 7 février 2013 consid. 4.2). L'exercice du droit de réplique permet de déposer des observations au sujet d'une prise de position ou d'une pièce nouvellement versée au dossier; il ne saurait servir à apporter au recours des éléments qui auraient pu l'être pendant le délai légal (ATF 137 I 195 consid. 2, SJ 2011 I 345; 132 I 42 consid. 3.3.4, JdT 2008 I 110 ; arrêts du Tribunal fédéral 4A_666/2015 du 26 avril 2016 consid. 3.1; 5A_737/2012 du 23 janvier 2013 consid. 4.2.3 ; 1B_183/2012 du 20 novembre 2012 consid. 2 i.f.).</w:t>
      </w:r>
    </w:p>
    <w:p>
      <w:r>
        <w:rPr>
          <w:b/>
        </w:rPr>
        <w:t>E. 2</w:t>
      </w:r>
    </w:p>
    <w:p>
      <w:r>
        <w:t>Les appelants allèguent des faits nouveaux et produisent des pièces nouvelles. 2.1.1 Selon l'art. 317 al. 1 CPC, les faits et les moyens de preuve nouveaux ne sont pris en considération en appel que s'ils sont invoqués ou produits sans retard</w:t>
      </w:r>
    </w:p>
    <w:p>
      <w:r>
        <w:t>- 11/24 -</w:t>
      </w:r>
    </w:p>
    <w:p>
      <w:r>
        <w:t>C/18775/2017 (let. a) et s'ils ne pouvaient pas être invoqués ou produits devant la première instance bien que la partie qui s'en prévaut ait fait preuve de diligence (let. b). 2.1.2 Les parties allèguent les faits sur lesquels elles fondent leurs prétentions et produisent les preuves qui s'y rapportent (art. 55 al. 1 CPC). La preuve a pour objet les faits pertinents et contestés (art. 150 al. 1 CPC). Conformément à l'art. 221 al. 1 let. d CPC, les allégations de fait doivent être contenues dans la demande. Cette disposition exige des allégations détaillées, qui doivent permettre de préciser les preuves offertes pour chaque fait (TAPPY, Commentaire romand, Code de procédure civile commenté, 2ème éd., 2019, n. 17 ad art. 221 CPC). Puisque la procédure probatoire ne doit porter que sur les faits pertinents et contestés, chaque partie doit articuler ses allégués avec précision (TAPPY, op.cit., n. 5 ad art. 55 CPC) pour permettre au juge non seulement d'appliquer le droit de fond, mais encore d'administrer les preuves nécessaires pour élucider les faits allégués (charge de motivation) et, préalablement, pour permettre à la partie adverse de se déterminer de manière précise sur les faits allégués (arrêt du Tribunal fédéral 4A_588/2011 du 3 mai 2012 consid. 2.2.1; HOHL, Procédure civile, tome I, 2ème éd. 2016, p. 208 et 209, n. 1261 à 1269). Il n'y a pas de formalisme excessif à ne pas tenir compte de faits non allégués découlant de pièces produites - à la différence du cas d'une allégation pertinente mais un peu trop générale, que le juge pourrait être amené à faire préciser en vertu de son devoir d’interpellation selon l’art. 247 al. 1 CPC et/ou l’art. 56 CPC (arrêts du Tribunal fédéral 4D_57/2013 du 2 décembre 2013 consid. 3.3; 4A_309/2013 du 16 décembre 2013 consid. 3.2, selon lequel un ensemble de faits passé entièrement sous silence dans les mémoires, même s'il peut être reconstitué par l'étude des pièces, n'est pas valablement introduit dans le procès).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(note F. BASTONS BULLETTI, in CPC Online, Newsletter du 14 juillet 2016).</w:t>
      </w:r>
    </w:p>
    <w:p>
      <w:r>
        <w:t>- 12/24 -</w:t>
      </w:r>
    </w:p>
    <w:p>
      <w:r>
        <w:t>C/18775/2017</w:t>
      </w:r>
    </w:p>
    <w:p>
      <w:r>
        <w:rPr>
          <w:b/>
        </w:rPr>
        <w:t>E. 2.2</w:t>
      </w:r>
    </w:p>
    <w:p>
      <w:r>
        <w:t>En l'espèce, pour ce qui est des faits en lien avec une invalidation des contrats, le premier juge a retenu à juste titre que les appelants ne les avaient pas fait valoir. Cette conclusion s'impose même s'il devait être admis - ce qui peut rester indécis - qu'ils ressortaient du courrier de leur conseil du 12 décembre 2016 produit en première instance. En effet, ces faits ne sont pas "couverts" par des faits articulés de façon admissible devant le premier juge et les appelants ne font d'ailleurs pas valoir le contraire. Leur allégation en première instance, selon laquelle A______ avait indiqué dans son courrier précité à l'intimée considérer avoir été victime de dol, n'est à cet égard pas suffisante. Les appelants n'ont en particulier pas allégué devant le premier juge avoir déclaré invalider les contrats. Ils n'ont d'ailleurs pas fondé leurs prétentions sur une telle invalidation. Or, les faits en lien avec une prétendue invalidation des contrats sont antérieurs à la procédure de première instance, de sorte qu'en faisant preuve de diligence, les appelants auraient pu les faire valoir devant le premier juge. Ceux-ci n'exposent d'ailleurs pas les raisons pour lesquelles tel n'a pas été le cas. Il en est de même des pièces nouvelles produites par les appelants devant la Cour et des faits nouveaux qu'elles contiennent (télécopie de la Banque à D______ du 9 juin 2006; statuts de sociétés de 1999), étant relevé que dite télécopie n'a de toute façon aucune force probante, faute d'être signée et de comporter la preuve de son envoi. Tel est le cas également de l'allégation nouvelle des appelants relative au contenu prétendument déficient des contrats de nantissement quant à l'objet du gage (objet grevé ; cf. supra, p. 3, 1er §), sans compter qu’elle a été invoquée en appel au stade de leur réplique, soit avec retard. Partant, les faits nouveaux et pièces nouvelles des appelants sont irrecevables.</w:t>
      </w:r>
    </w:p>
    <w:p>
      <w:r>
        <w:rPr>
          <w:b/>
        </w:rPr>
        <w:t>E. 3</w:t>
      </w:r>
    </w:p>
    <w:p>
      <w:r>
        <w:t>Les appelants font grief au Tribunal de ne pas avoir pris en considération certains faits pertinents.</w:t>
      </w:r>
    </w:p>
    <w:p>
      <w:r>
        <w:rPr>
          <w:b/>
        </w:rPr>
        <w:t>E. 3.1</w:t>
      </w:r>
    </w:p>
    <w:p>
      <w:r>
        <w:t>L'appel peut être formé pour constatation inexacte des faits (art. 310 CPC).</w:t>
      </w:r>
    </w:p>
    <w:p>
      <w:r>
        <w:rPr>
          <w:b/>
        </w:rPr>
        <w:t>E. 3.2</w:t>
      </w:r>
    </w:p>
    <w:p>
      <w:r>
        <w:t>En l'espèce, sans pour autant admettre la pertinence des faits concernés, question qui peut demeurer indécise, l'état de fait du jugement attaqué a été précisé dans le présent arrêt en tenant compte, d’une part, des termes exacts des actes de nantissement s’agissant des créances garanties et, d’autre part, de la télécopie de l'intimée du 10 mai 2012 ainsi que des déclarations des appelants devant le premier juge s’agissant du contexte du prêt lié au compte « K______ ». Quant aux faits en lien avec une invalidation des contrats, ceux ressortant de la télécopie de l'intimée à D______ du 9 juin 2006 et ceux découlant des statuts de sociétés de 1999, c’est à juste titre que le Tribunal ne les a pas pris en</w:t>
      </w:r>
    </w:p>
    <w:p>
      <w:r>
        <w:t>- 13/24 -</w:t>
      </w:r>
    </w:p>
    <w:p>
      <w:r>
        <w:t>C/18775/2017 considération, faute d’allégations (suffisantes) et la Cour n’a pas à le faire non plus (cf. consid. 2 supra). Enfin, les déclarations de N______ invoquées par les appelants ont bien été retenues par le Tribunal, contrairement à ce que ceux-ci soutiennent.</w:t>
      </w:r>
    </w:p>
    <w:p>
      <w:r>
        <w:rPr>
          <w:b/>
        </w:rPr>
        <w:t>E. 4</w:t>
      </w:r>
    </w:p>
    <w:p>
      <w:r>
        <w:t>Les appelants reprochent par ailleurs au premier juge d'avoir retenu que les actes de nantissement signés étaient valables. Le Tribunal aurait à cet égard violé le principe de spécialité et les règles en matière de protection contre les engagements excessifs au sens de l'art. 27 CC. En effet, selon eux, le cercle des créances garanties était illimité, ce qui ressortait du texte des contrats et du fait qu'aucun contrat de prêt distinct de la facilité de crédit n'a été conclu (compte "G______"). Ils ne connaissaient au surplus pas la destination des fonds prêtés, ni les échéances de remboursement et taux d'intérêts stipulés pour ceux-ci. Les actes de nantissement garantissaient en outre toutes les créances actuelles et futures issues de la relation entre D______ et l'intimée, ils n'étaient pas limités dans le temps et il était impossible d'y mettre un terme. Dans leur mémoire de réplique devant la Cour, les appelants font valoir la nullité des actes de nantissement, faute pour l'objet du gage d'être individualisé.</w:t>
      </w:r>
    </w:p>
    <w:p>
      <w:r>
        <w:rPr>
          <w:b/>
        </w:rPr>
        <w:t>E. 4.1</w:t>
      </w:r>
    </w:p>
    <w:p>
      <w:r>
        <w:t>L'acquisition (ou constitution) d'un droit de gage sur des choses mobilières (art. 884 ss CC) ou sur des créances et autres droits (art. 899 ss CC) suppose un titre d'acquisition et une opération d'acquisition; cette dernière comprend elle- même un acte de disposition, soit un contrat réel entre le constituant et l'acquéreur, et un acte matériel, soit, pour les choses mobilières, le transfert de possession. Le titre d'acquisition est l'acte générateur de droit par lequel le constituant s'oblige à constituer ce droit réel limité, c'est-à-dire le contrat constitutif de droit de gage mobilier (ATF 142 III 746 consid. 2.1).</w:t>
      </w:r>
    </w:p>
    <w:p>
      <w:r>
        <w:rPr>
          <w:b/>
        </w:rPr>
        <w:t>E. 4.2</w:t>
      </w:r>
    </w:p>
    <w:p>
      <w:r>
        <w:t>Le contenu du contrat constitutif de gage n'est pas réglementé spécialement par les art. 884 ss CC; il s'agit d'un contrat innomé. Les règles de la partie générale du code des obligations lui sont applicables (art. 7 CC). Les conditions matérielles de ce contrat (essentialia negotii), sur lesquelles l'accord des parties doit porter, sont l'obligation du constituant de constituer le droit de gage mobilier, la désignation de l'objet grevé et la désignation de la créance garantie (ATF 142 III 746 consid. 2.2).</w:t>
      </w:r>
    </w:p>
    <w:p>
      <w:r>
        <w:rPr>
          <w:b/>
        </w:rPr>
        <w:t>E. 4.2.1</w:t>
      </w:r>
    </w:p>
    <w:p>
      <w:r>
        <w:t>L'objet du nantissement doit être suffisamment déterminé pour être valable. Il est ainsi exclu qu'un droit de gage porte de manière générale sur l'ensemble des biens du constituant. Il suffit en revanche que l'objet du droit de gage soit (objectivement ou subjectivement) déterminable selon la description qui en est faite dans le contrat constitutif du nantissement (STEINAUER, Les droits réels, tome III, 2012, n. 3141 et 3141a, p. 455). Peuvent être mis en gage conformément</w:t>
      </w:r>
    </w:p>
    <w:p>
      <w:r>
        <w:t>- 14/24 -</w:t>
      </w:r>
    </w:p>
    <w:p>
      <w:r>
        <w:t>C/18775/2017 aux art. 899 ss CC des droits individuellement déterminés, et ce, en vertu du principe de spécialité; il n'est en revanche pas possible de mettre en gage des ensembles de droit tels que la fortune d'une personne ou d'une entreprise (DE GOTTRAU/FOËX, Commentaire romand, CC II, 2016, n. 13 ad. art. 899 CC). Le contrat peut porter sur un objet futur ou à acquérir et ce n'est que lors de l'accomplissement de l'acte de disposition que l'objet grevé doit être individualisé, ainsi que l'exige le principe de spécialité (FOËX, Commentaire romand, CC II, 2016, n. 24 ad. art. 884 CC). Un droit de gage collectif peut-être conféré par le nantissement de plusieurs objets, qui peuvent alors être décrits en termes généraux, comme "les marchandises se trouvant dans un tel dépôt". Les parties peuvent aussi convenir que le constituant pourra retirer un objet de l'ensemble des objets grevés et le remplacer par un autre (STEINAUER, op. cit., n. 3143 et 3143a, p. 455).</w:t>
      </w:r>
    </w:p>
    <w:p>
      <w:r>
        <w:rPr>
          <w:b/>
        </w:rPr>
        <w:t>E. 4.2.2</w:t>
      </w:r>
    </w:p>
    <w:p>
      <w:r>
        <w:t>En ce qui concerne la désignation de la créance garantie, le droit de gage mobilier peut être constitué pour garantir une créance quelconque, actuelle (exigible ou non), future, conditionnelle ou simplement éventuelle. Cette créance peut être de nature contractuelle, mais aussi une créance en dommages-intérêts de la banque contre le client en relation avec le contrat passé avec lui ou une créance pour enrichissement illégitime en raison de l'annulation, de la nullité ou de la révocation du contrat lorsque les parties en sont expressément convenues ou que cela doit être admis selon leur volonté hypothétique. Le principe de spécialité ne s'applique pas strictement: la créance garantie ne doit être déterminée ni qualitativement, ni quantitativement (contrairement à l'hypothèque qui exige l'indication d'une somme maximale, cf. art. 794 al. 1 CC). Au regard du principe de spécialité, il suffit que les créances garanties par le contrat de gage mobilier - rapport de sûreté - soient déterminées ou suffisamment déterminables au moment de la conclusion du contrat de gage, ce qu'elles sont lorsqu'elles sont connexes aux relations d'affaires entre créancier et débiteur - rapport de base. Une telle connexité fait défaut lorsque le créancier gagiste s'est fait céder la créance par un tiers (ATF 142 III 746 consid. 2.2.1).</w:t>
      </w:r>
    </w:p>
    <w:p>
      <w:r>
        <w:t>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Autrement dit, il est nécessaire que ces créances découlent clairement des rapports d'affaires entre la banque et le client - connexité avec le rapport de base - et que les parties aient pu ou dû raisonnablement penser, lors de la conclusion du contrat constitutif de gage, qu'elles pourraient prendre naissance. Il importe en effet que le constituant du gage ait accepté de garantir de telles créances, ce qui présuppose qu'au moment de conclure le contrat constitutif de gage, lesdites créances aient été prévisibles. Il peut donc s'avérer nécessaire de devoir interpréter la volonté des parties (ATF 142 III 746 consid. 2.2.2).</w:t>
      </w:r>
    </w:p>
    <w:p>
      <w:r>
        <w:t>- 15/24 -</w:t>
      </w:r>
    </w:p>
    <w:p>
      <w:r>
        <w:t>C/18775/2017</w:t>
      </w:r>
    </w:p>
    <w:p>
      <w:r>
        <w:rPr>
          <w:b/>
        </w:rPr>
        <w:t>E. 4.3</w:t>
      </w:r>
    </w:p>
    <w:p>
      <w:r>
        <w:t>Lorsque le contrat constitutif de gage prévoit que le droit de gage garantit l'ensemble des créances actuelles et futures de la banque contre son client, la licéité de l'accord peut se poser au regard des art. 27 al. 2 CC et 19 al. 2 CO. L'exigence de la déterminabilité suffisante de la créance garantie, en particulier des créances futures, sert à l'individualisation de la créance garantie; en revanche, la protection des droits de la personnalité assurée par les art. 27 al. 2 CC et 19 al. 2 CO entend protéger celui qui s'oblige contre des engagements excessifs. L'engagement de garantir toutes les créances futures qu'une personne pourrait avoir envers une autre, sans que celles-ci soient définies par une limite dans le temps, par le genre d'affaires dont elles résultent ou par la manière dont le créancier les a acquises, est nul en vertu de ces dispositions (ATF 142 III 746 consid. 2.3 et les références citées). Le gage est admissible s'il garantit des créances auxquelles le constituant pouvait raisonnablement penser lors de la constitution du droit. Est par exemple licite la clause prévoyant que la garantie s'étend à toutes les créances résultant des relations d'affaires entre une banque et son client. En revanche, ne sont pas couvertes les prétentions résultant d'un acte illicite sans aucun rapport avec la relation d'affaires (arrêt du Tribunal fédéral 4A_540/2015 du 1er avril 2016 consid. 2.3.1).</w:t>
      </w:r>
    </w:p>
    <w:p>
      <w:r>
        <w:rPr>
          <w:b/>
        </w:rPr>
        <w:t>E. 4.4</w:t>
      </w:r>
    </w:p>
    <w:p>
      <w:r>
        <w:t>En l'espèce, les parties ne remettent pas en cause le fait que les contrats litigieux doivent être qualifiés de contrats constitutifs de droit de gage mobilier.</w:t>
      </w:r>
    </w:p>
    <w:p>
      <w:r>
        <w:t>Seule la validité des contrats signés en dernier lieu doit être examinée, soit, s'agissant du compte "G______", le contrat de juin 2015 signé par A______ et, pour ce qui est du compte "K______", les deux contrats d'octobre 2015 signés respectivement par celui-ci et B______. En effet, ces contrats ont annulé et remplacé les précédents.</w:t>
      </w:r>
    </w:p>
    <w:p>
      <w:r>
        <w:rPr>
          <w:b/>
        </w:rPr>
        <w:t>E. 4.4.1</w:t>
      </w:r>
    </w:p>
    <w:p>
      <w:r>
        <w:t>Le grief des appelants en lien avec la question de la validité de ces contrats sous l'angle de l’exigence du caractère suffisamment déterminé de l'objet grevé a été soulevé tardivement, au stade de leur réplique. Au surplus, l’allégué relatif au contenu des contrats quant à l'objet grevé est nouveau et irrecevable (cf. consid. 2 supra). Il n'y a donc en principe pas lieu d'entrer en matière sur ce grief, lequel n’est de toute façon pas fondé. En effet, l'objet du gage est déterminable, dès lors qu'il est décrit comme se composant des différents biens mobiliers en dépôt actuellement ou ultérieurement sur les comptes des précités. Par ailleurs, selon la doctrine citée sous considérant 4.2 supra, un droit de gage collectif peut-être conféré sur plusieurs objets décrits en des termes généraux et les parties peuvent convenir que l'un ou plusieurs de ces biens sera ou seront remplacé(s) par d'autres.</w:t>
      </w:r>
    </w:p>
    <w:p>
      <w:r>
        <w:rPr>
          <w:b/>
        </w:rPr>
        <w:t>E. 4.4.2</w:t>
      </w:r>
    </w:p>
    <w:p>
      <w:r>
        <w:t>Sous l’angle de l’exigence de la déterminabilité suffisante de la créance garantie, les contrats de nantissement précités sont valables, comme l’a retenu le Tribunal.</w:t>
      </w:r>
    </w:p>
    <w:p>
      <w:r>
        <w:t>- 16/24 -</w:t>
      </w:r>
    </w:p>
    <w:p>
      <w:r>
        <w:t>C/18775/2017</w:t>
      </w:r>
    </w:p>
    <w:p>
      <w:r>
        <w:t>En effet, s’agissant du compte "G______", les avoirs nantis par contrat de juin 2015 se montaient au maximum à EUR 1'192'817.-, plus intérêts à compter du 30 septembre 2007. Il s’agissait de garantir une créance en capital et intérêts de l'intimée à l'égard de D______ à la suite de la ligne de crédit accordée à celui-ci en compte courant. Le constituant, A______, savait, comme il l’a indiqué dans un courrier à l’intimée du 12 décembre 2007, que cette créance s’élevait en septembre 2007 au montant précité en capital (intérêts compris jusqu’à cette date), plus intérêts à compter de cette date. Il savait également que cette créance n'était pas susceptible d'augmenter dans son capital au-delà du montant précité (hormis par la capitalisation des intérêts), pour avoir lui-même donné dans le courrier précité à l'intimée l’instruction de ne plus autoriser D______ à procéder à des retraits sur son compte. Le constituant savait, enfin, pour en avoir été informé par l'intimée par télécopie du 23 mars 2011, que la créance garantie se montait en mars 2011 à EUR 1'356'755.39 en capital (par la capitalisation des intérêts à compter de septembre 2007), plus intérêts à compter du 31 décembre 2010.</w:t>
      </w:r>
    </w:p>
    <w:p>
      <w:r>
        <w:t>Pour ce qui est du compte "K______", les avoirs nantis par contrats d’octobre 2015 l'étaient en garantie de toutes créances actuelles et futures que la banque pourrait avoir à l'encontre des appelants ou de "K______" mais au maximum à EUR 975'000.- et EUR 550'000.-, soit EUR 1'525'000.- au total, correspondant au crédit consenti à D______. Il s’agissait donc clairement de garantir une créance, exclusivement pour ce qui était du capital hormis les intérêts, de l’intimée à l’égard de D______ à la suite de la ligne de crédit accordée à celui-ci sur ledit compte. Les constituants, A______ et B______, connaissaient à cette date cette créance en capital, pour avoir eux-mêmes donné à l’intimée en mai 2012 l’instruction de lui donner naissance par l’octroi du crédit concerné à D______ sur son compte précité. A teneur de la télécopie de l’intimée de mai 2012, ils savaient que cette créance portait intérêts, étant relevé que la créance d’intérêts en découlant n’était cependant pas garantie par leurs soins, comme il ressort des actes de nantissement qu’ils ont signés, lesquels se limitaient à la créance en capital.</w:t>
      </w:r>
    </w:p>
    <w:p>
      <w:r>
        <w:t>En conséquence, dans le cadre des deux comptes précités, le droit de gage mobilier a été constitué en 2015 pour garantir une créance en capital actuelle et déterminée, tant qualitativement que quantitativement (somme maximale), sous réserve de la créance d’intérêts dans le cadre du prêt octroyé en lien avec le compte "G______" qui n'était pas déterminée. Ainsi, malgré le texte des contrats qui visait, certes, toute créance future éventuelle de la Banque à l’égard du(des) constituant(s) ou de D______ en lien avec lesdits comptes, seule la créance d’intérêts en lien avec le compte "G______" revêtait la qualité de créance future (mais non éventuelle). Or, cette créance d’intérêts future découlait clairement du rapport d’affaires entre l’intimée et D______ et le constituant connaissait en particulier le montant capitalisé des intérêts pour la période courant de septembre 2007 à décembre 2010, de sorte qu’elle était suffisamment déterminable.</w:t>
      </w:r>
    </w:p>
    <w:p>
      <w:r>
        <w:t>- 17/24 -</w:t>
      </w:r>
    </w:p>
    <w:p>
      <w:r>
        <w:t>C/18775/2017</w:t>
      </w:r>
    </w:p>
    <w:p>
      <w:r>
        <w:rPr>
          <w:b/>
        </w:rPr>
        <w:t>E. 4.4.3</w:t>
      </w:r>
    </w:p>
    <w:p>
      <w:r>
        <w:t>Sous l’angle de la protection des droits de la personnalité, les contrats de nantissement précités sont valables également, comme l’a retenu le premier juge.</w:t>
      </w:r>
    </w:p>
    <w:p>
      <w:r>
        <w:t>En effet, comme il a été relevé dans le considérant précédent, pour ce qui est des deux comptes, malgré la clause standard préformulée par l’intimée que contenait les contrats (selon laquelle le droit de gage garantissait toute créance actuelle et future de celle-ci à l'égard du(des) constituant(s) ou de D______), les droits de gage ont été constitués en garantie d’une créance actuelle et déterminée tant qualitativement que quantitativement ainsi que (uniquement s’agissant des intérêts dus en lien avec le compte "G______") d’une créance future prévisible. L’on ne se trouvait donc pas dans le cas de figure de contrats constitutifs de gage prévoyant que le droit de gage garantit l’ensemble des créances futures qu’une personne pourrait avoir envers une autre, sans que celles-ci soient définies par une limite dans le temps, par le genre d’affaires dont elles résultent ou par la manière dont le créancier les a acquises. Dès lors que selon la jurisprudence citée sous consid. 4.3 supra, est déjà licite la clause prévoyant que la garantie s’étend à toutes les créances résultant des relations d’affaires entre une banque et son client, la licéité des contrats de nantissement litigieux au regard des art. 27 al. 2 CC et 19 al. 2 CO doit être admise.</w:t>
      </w:r>
    </w:p>
    <w:p>
      <w:r>
        <w:rPr>
          <w:b/>
        </w:rPr>
        <w:t>E. 4.4.4</w:t>
      </w:r>
    </w:p>
    <w:p>
      <w:r>
        <w:t>En conclusion, les griefs des appelants relatifs à la violation du principe de spécialité et des règles de protection des droits de la personnalité ne sont pas fondés. Partant, le jugement entrepris sera confirmé sur ces points.</w:t>
      </w:r>
    </w:p>
    <w:p>
      <w:r>
        <w:rPr>
          <w:b/>
        </w:rPr>
        <w:t>E. 5</w:t>
      </w:r>
    </w:p>
    <w:p>
      <w:r>
        <w:t>Les appelants soutiennent encore qu'à défaut d'être admise en application de l'art. 27 CC, la nullité des actes de nantissement litigieux devrait l'être sur la base des art. 24 al. 1 ch. 4 et 31 CO. Selon eux, en effet, ils avaient invalidé ces actes pour cause d'erreur essentielle par courrier de leur conseil du 12 décembre 2016. A cet égard, ils reprochent au Tribunal d'avoir retenu qu'ils n'avaient pas invoqué une telle invalidation en procédure. A l'appui de ce grief, ils font valoir - exclusivement - que le courrier précité avait été produit en première instance.</w:t>
      </w:r>
    </w:p>
    <w:p>
      <w:r>
        <w:rPr>
          <w:b/>
        </w:rPr>
        <w:t>E. 5.1</w:t>
      </w:r>
    </w:p>
    <w:p>
      <w:r>
        <w:t>Le contrat n'oblige pas celle des parties qui, au moment de le conclure, était dans une erreur essentielle (art. 23 CO). Est une erreur essentielle, notamment l'erreur qualifiée sur les motifs (dite erreur de base), soit une erreur portant sur des faits que la loyauté commerciale permettait à celui qui se prévaut de son erreur de considérer comme des éléments nécessaires du contrat (art. 24 al. 1 ch. 4 CO). Selon l'art. 31 al. 1 CO, le contrat entaché d'erreur ou de dol est tenu pour ratifié lorsque la partie qu'il n'oblige point a laissé s'écouler une année sans déclarer à l'autre sa résolution de ne pas le maintenir, ou sans répéter ce qu'elle a payé. Le délai court dès que l'erreur a été découverte (art. 31 al. 2 CO).</w:t>
      </w:r>
    </w:p>
    <w:p>
      <w:r>
        <w:rPr>
          <w:b/>
        </w:rPr>
        <w:t>E. 5.2</w:t>
      </w:r>
    </w:p>
    <w:p>
      <w:r>
        <w:t>En l'espèce, comme il a été exposé au considérant 2 ci-dessus, le Tribunal a retenu avec raison que les appelants n'avaient pas invoqué une invalidation des</w:t>
      </w:r>
    </w:p>
    <w:p>
      <w:r>
        <w:t>- 18/24 -</w:t>
      </w:r>
    </w:p>
    <w:p>
      <w:r>
        <w:t>C/18775/2017 actes de nantissement et les allégations y relatives de ceux-ci devant la Cour sont nouvelles et irrecevables. Il se justifie par conséquent de retenir, sans autres développements, que leur thèse de nullité desdits actes en application des art. 24 al. 1 ch. 4 et 31 CO n'est pas fondée, faute d'allégation faite à temps - a fortiori de démonstration - de l'existence d'une déclaration d'invalidation au sens de l'art. 31 al. 1 CO.</w:t>
      </w:r>
    </w:p>
    <w:p>
      <w:r>
        <w:rPr>
          <w:b/>
        </w:rPr>
        <w:t>E. 6</w:t>
      </w:r>
    </w:p>
    <w:p>
      <w:r>
        <w:t>Les appelants font en dernier lieu grief au Tribunal de ne pas avoir retenu une violation par l'intimée de son devoir de diligence découlant des contrats de nantissement.</w:t>
      </w:r>
    </w:p>
    <w:p>
      <w:r>
        <w:t>En effet, selon eux, dans le cadre des deux comptes précités, ils auraient été avisés tardivement de la réalisation du gage. Au surplus, s'agissant du compte "G______", D______ avait rencontré des difficultés à s'acquitter des intérêts du prêt dès 2005. Or, l'intimée s'était désintéressée d'obtenir le remboursement de celui-ci jusqu’en 2016. Elle avait préféré léser les intérêts de A______ en faisant appel à la garantie en 2017, après neuf ans sans nouvelles. Contrairement à ce qu'avait retenu le Tribunal, les demandes de celui-ci d'accorder des délais à son frère étaient intervenues pour la dernière fois en 2007. Pour ce qui était du compte "K______", l'intimée s'était abstenue d'exiger de D______ le paiement des intérêts de la dette et de les alerter sur la défection de celui-ci (et donc sur l’évolution de la dette) entre 2012 et 2015, puis de cette date à novembre 2016, dans le but de faire fructifier les intérêts à leur détriment.</w:t>
      </w:r>
    </w:p>
    <w:p>
      <w:r>
        <w:rPr>
          <w:b/>
        </w:rPr>
        <w:t>E. 6.1</w:t>
      </w:r>
    </w:p>
    <w:p>
      <w:r>
        <w:t>Par la conclusion d’un contrat de nantissement, le constituant s'oblige à créer un droit de gage sur une chose mobilière en garantie d'une dette, alors que le créancier assume l'obligation de restituer l'objet grevé une fois le droit de gage éteint (art. 889 CC; arrêt du Tribunal fédéral 5A_924/2013 du 20 mai 2014 consid. 4.2.1). Aux termes de l'art. 891 CC, le créancier qui n'est pas désintéressé a le droit de se payer sur le prix provenant de la réalisation du gage (al. 1). Le nantissement garantit au créancier le capital, les intérêts conventionnels, les frais de poursuite et les intérêts moratoires (al. 2). En principe, le créancier introduira une procédure d'exécution forcée pour réaliser le gage. Néanmoins, les parties peuvent convenir, dans le contrat de nantissement ou par la suite, que le créancier est autorisé à vendre l'objet grevé. Le créancier doit alors, avant de procéder à cette réalisation privée, donner au constituant un avis correspondant, conformément aux règles de la bonne foi. Le créancier a aussi un devoir de diligence et répond du dommage causé au constituant lors de l'exécution de la vente. Ce devoir résulte du contrat de nantissement, dans lequel la réalisation privée est prévue. Une fois la chose réalisée, le créancier doit fournir un décompte au constituant et lui restituer ce qui excède le montant nécessaire à le désintéresser. Le créancier qui viole son devoir de diligence lors de la réalisation privée de la chose nantie engage sa</w:t>
      </w:r>
    </w:p>
    <w:p>
      <w:r>
        <w:t>- 19/24 -</w:t>
      </w:r>
    </w:p>
    <w:p>
      <w:r>
        <w:t>C/18775/2017 responsabilité contractuelle. Il en va de même lorsqu'il conclut avec diligence la vente, mais viole son obligation de restituer l'excédent au constituant, une fois qu'il s'est désintéressé sur le prix provenant de la réalisation (arrêt du Tribunal fédéral 5A_924/2013 précité consid. 4.2.1.1). L'art. 890 CC institue une responsabilité du créancier, qui doit réparer le dommage qu'il a causé au constituant par la dépréciation, la perte (al. 1) ou l'acte d'aliénation non autorisé (al. 2). La vente privée réalisée avant l'échéance de la dette, sans le consentement du constituant, ou celle effectuée sans préavis adressé à celui-ci, entre dans le champ d'application de l'art. 890 al. 2 CC. La responsabilité fondée sur l'art. 890 CC est de nature contractuelle (arrêt du Tribunal fédéral 5A_924/2013 précité consid. 4.2.1.2). L'avis précédant la réalisation du gage, qui doit être donné notamment au constituant et à l'éventuel tiers propriétaire de l'objet grevé, a pour but de fournir aux destinataires une ultime possibilité d'éviter la réalisation. L'avertissement sera généralement donné lorsque la créance devient exigible. Mais il peut également être donné avant cela. Il ne devrait cependant pas être donné si longtemps à l'avance qu'il ne réponde plus à son but (FOËX, op. cit., n. 27 et 28 ad. art. 891 CC).</w:t>
      </w:r>
    </w:p>
    <w:p>
      <w:r>
        <w:rPr>
          <w:b/>
        </w:rPr>
        <w:t>E. 6.2</w:t>
      </w:r>
    </w:p>
    <w:p>
      <w:r>
        <w:t>En l'espèce, l'intimée a informé les appelants par courriers du 3 novembre 2016 qu'elle avait dénoncé les facilités de crédit en relation avec les comptes "G______" et "K______" ainsi que fixé à D______ un ultime délai au 20 novembre 2016 pour s’acquitter de la totalité de sa dette, à défaut de quoi les garanties fournies seraient réalisées sans autre préavis. Elle leur a par ailleurs annoncé par courrier du 9 janvier 2017 qu'elle était contrainte de procéder à dite réalisation. C'est par conséquent à juste titre que le premier juge a retenu que les appelants avaient disposé d'un délai suffisant pour leur permettre de réagir avant la réalisation (plus de deux mois). L'intimée n'a donc pas manqué à son devoir de diligence tel que défini dans la jurisprudence citée supra, étant relevé que l'absence de communication d'un décompte et/ou l'existence d'un excédent non restitué ne sont pas invoqués. Point n'est besoin de déterminer - les appelants n'en mentionnent pas - quelle(s) norme(s) juridique(s) légale(s) et/ou contractuelle(s) pourrai(en)t le cas échéant fonder les autres prétendus manquements de l'intimée que font valoir les appelants pour réclamer la réparation de leur dommage allégué. En effet, les actes reprochés ne sont de toute façon pas démontrés, comme il sera développé ci-après. Les contrats de nantissement pertinents pour l'examen de la question litigieuse sont, s'agissant du compte "G______", celui de juin 2015 signé par A______ et,</w:t>
      </w:r>
    </w:p>
    <w:p>
      <w:r>
        <w:t>- 20/24 -</w:t>
      </w:r>
    </w:p>
    <w:p>
      <w:r>
        <w:t>C/18775/2017 pour ce qui est du compte "K______", ceux d'octobre 2015 signés respectivement par celui-ci et B______ (cf. consid. 4.4 supra). Or, s'agissant du compte "G______", l'intimée a entrepris des démarches auprès de D______ en vue de l'exécution par celui-ci de ses obligations (notamment en février 2007). A______ a sollicité à plusieurs reprises (à tout le moins encore en décembre 2007) que des délais soient accordés à son frère (au 30 juin 2008). Il était donc conscient des difficultés financières de celui-ci et attendait de l'intimée qu'elle accorde du temps au précité. A______ donnait en outre des instructions à l'intimée à cette date quant à l'évolution de la ligne de crédit, à savoir de ne plus autoriser son frère à procéder à des retraits sur son compte. En mars 2011, puis en juin 2015, A______ a signé de nouveaux actes de nantissement en remplacement des précédents. Ces nouveaux actes faisaient référence au montant maximum de la créance garantie en capital (EUR 1'192'817.-) et à la date à compter de laquelle courait la créance d'intérêts garantie qui s'y ajoutait (septembre 2007). Or, ce montant maximum garanti en capital correspondait à l'état de la dette en capital à septembre 2007, lequel était connu de A______ (cf. son courrier de décembre 2007 à l'intimée). Cette dette en capital n'était, par ailleurs, pas susceptible d'augmenter et n'a d'ailleurs pas augmenté (hormis par la capitalisation des intérêts), conformément à l’instruction du précité à l'intimée donnée en décembre 2007 (cf. son courrier précité). Au surplus, en juin 2015, lorsqu'il a signé le dernier acte de nantissement, seul pertinent, A______ connaissait l'état de la dette en capital à mars 2011 (EUR 1'356'755.-), lequel comprenait les intérêts capitalisés sur EUR 1'192'817.- à compter de septembre 2007 (cf. la télécopie de l'intimée de mars 2011). En ce qui concerne le compte "K______", les appelants connaissaient en 2012 le montant de la dette en capital qu’ils avaient garantie (EUR 1'525'000.- au total) et le contexte dans lequel elle était née, soit en remplacement d'un autre engagement fourni par l'intimée en lien avec le compte "J______" qui avait été appelé au paiement et dont l'ayant droit économique était A______. Ces éléments découlaient notamment de la télécopie de l'intimée du 10 mai 2012 que les appelants ont contresignée pour accord. Il y était fait mention du fait que l'intimée ferait appel aux garanties reçues (à savoir au total EUR 1'525'000.-), notamment si les intérêts de la dette (qu’ils n’avaient pas garantis) n'étaient pas payés. En réalité, au vu de ce document et des circonstances l'entourant, la facilité de crédit litigieuse a été accordée par l'intimée à D______, non pas seulement à la connaissance, mais sur instruction des appelants. En octobre 2015, les appelants ont signé de nouveaux actes de nantissement, seuls pertinents, en remplacement des précédents conclus en 2012. Ces actes faisaient référence au montant maximum en capital garanti (EUR 1'525'000.- au total), lequel correspondait à celui de la dette en capital qui demeurait inchangée depuis 2012, et aucune créance d'intérêts n'était garantie, comme cela était le cas déjà en 2012. La signature de ces actes impliquait une augmentation du montant des avoirs nantis</w:t>
      </w:r>
    </w:p>
    <w:p>
      <w:r>
        <w:t>- 21/24 -</w:t>
      </w:r>
    </w:p>
    <w:p>
      <w:r>
        <w:t>C/18775/2017 par les appelants (EUR 600'000.- à EUR 975'000.-, respectivement EUR 175'000.- à EUR 550'000.-) nécessaire à la suite de la clôture du compte "J______" et l’annulation du nantissement à hauteur de EUR 750'000.- d’avoirs déposés sur ce compte (ces nantissements étaient d’ailleurs conditionnés à la réception par les appelants sur leurs comptes respectifs de EUR 410'000.- chacun en provenance du compte "J______"). Ainsi, en juin 2015, respectivement en octobre 2015, lorsqu'ils ont signé les actes de nantissement seuls pertinents, les appelants étaient informés de l'état et du contexte de chacune des deux dettes, en particulier qu'elles n’étaient pas remboursées, de leurs montants en capital qui demeuraient inchangés, qu’elles portaient intérêts, des montants approximatifs en intérêts qui s'y ajoutaient pour le passé et s'y ajouteraient dans le futur ("G______" uniquement) et que le défaut de paiement de ceux-ci pouvait entraîner la réalisation des garanties fournies. Ils connaissaient également les difficultés rencontrées par D______ dans l'exécution de ses obligations, raison d'être de la signature par leurs soins des actes de nantissement successifs. Par ailleurs, pour ce qui est du compte "G______", une année seulement après la signature de l'acte de nantissement, en juillet 2016, l'intimée a dénoncé le prêt concerné auprès de D______, sans résultat, ce dont elle a avisé A______ en novembre 2016. En ce qui concerne le compte "K______", sept mois seulement après la signature des actes de nantissement, en mai 2016, l'intimée a entrepris des démarches en vue d'obtenir l'exécution par D______ de ses obligations. Deux mois après, en juillet 2016, elle a dénoncé le prêt concerné auprès de D______, sans résultat, ce dont elle a avisé les appelants en novembre 2016. En janvier 2017, elle leur a ensuite annoncé réaliser les avoirs fournis en garantie des deux dettes (EUR 1'439'508.-, respectivement EUR 1'525'000.-). Au vu des éléments qui précèdent, il convient de retenir que les appelants échouent à démontrer que l'intimée aurait, dans le cadre des contrats de nantissement signés en dernier lieu, renoncé à réclamer à D______ l'exécution de ses obligations et laissé les appelants dans l'ignorance de l'évolution de la dette, ceci dans le but de laisser courir les intérêts à son profit et au détriment des appelants. Cela sans compter, pour ce qui est de la créance d'intérêts liée au compte "K______", que celle-ci n'était pas garantie par les appelants, de sorte que son augmentation entre 2012 et 2017 n’est pas intervenue à leur détriment. Partant, le Tribunal a considéré à juste titre qu'aucun élément ne permettait de retenir que l'intimée avait violé son devoir de diligence dans le cadre des contrats de nantissement précités. Le dernier grief des appelants étant infondé, le jugement entrepris sera confirmé dans son intégralité.</w:t>
      </w:r>
    </w:p>
    <w:p>
      <w:r>
        <w:t>- 22/24 -</w:t>
      </w:r>
    </w:p>
    <w:p>
      <w:r>
        <w:t>C/18775/2017</w:t>
      </w:r>
    </w:p>
    <w:p>
      <w:r>
        <w:rPr>
          <w:b/>
        </w:rPr>
        <w:t>E. 7</w:t>
      </w:r>
    </w:p>
    <w:p>
      <w:r>
        <w:t>Les frais judiciaires d'appel seront arrêtés à 5'000 fr. au vu de l'activité déployée par la Cour et de la difficulté de la cause (art. 2, 13, 17 et 35 RTFMC). Ils seront mis à la charge des appelants qui succombent (art. 106 al. 1 CPC) et partiellement compensés avec leur avance de frais de 2'400 fr., laquelle reste acquise à l'Etat de Genève (art. 111 al. 1 CPC). Les appelants seront ainsi condamnés à verser le solde de 2'600 fr. à l'Etat de Genève, soit pour lui les Services financiers du Pouvoir judiciaire. L'intimée n'ayant pas produit de note d'honoraires de son conseil, les dépens qui lui sont dus par les appelants (art. 106 al. 1 CPC) seront fixés à 4'000 fr., TVA et débours compris (art. 84, 85 et 90 RTFMC; art. 25 et 26 LaCC), compte tenu notamment des deux écritures rédigées. * * * * *</w:t>
      </w:r>
    </w:p>
    <w:p>
      <w:r>
        <w:t>- 23/24 -</w:t>
      </w:r>
    </w:p>
    <w:p>
      <w:r>
        <w:t>C/18775/2017 PAR CES MOTIFS, La Chambre civile : A la forme : Déclare recevable l'appel interjeté le 16 septembre 2019 par A______ et B______ contre le jugement JTPI/9462/2019 rendu le 26 juin 2019 par le Tribunal de première instance dans la cause C/18775/2017-11. Au fond : Confirme ce jugement. Déboute les parties de toutes autres conclusions. Sur les frais : Arrête les frais judiciaires de l'appel à 5'000 fr., les met à la charge de A______ et B______, pris conjointement et solidairement, et les compense partiellement avec l'avance de frais de 2'400 fr. fournie par ceux-ci, laquelle reste acquise à l'Etat de Genève. Condamne A______ et B______, pris conjointement et solidairement, à verser le solde de 2'600 fr. à l'Etat de Genève, soit pour lui les Services financiers du Pouvoir judiciaire. Condamne A______ et B______, pris conjointement et solidairement, au paiement de 4'000 fr. à C______ (SUISSE) SA, à titre de dépens d'appel.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- 24/24 -</w:t>
      </w:r>
    </w:p>
    <w:p>
      <w:r>
        <w:t>C/18775/2017</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