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ACJC/576/2024 vom 13. Mai 2024</w:t>
      </w:r>
    </w:p>
    <w:p>
      <w:r>
        <w:t>GE Cour de justice, 2024-05-13, FR</w:t>
      </w:r>
    </w:p>
    <w:p>
      <w:r>
        <w:rPr>
          <w:b/>
        </w:rPr>
        <w:t xml:space="preserve">Quelle: </w:t>
      </w:r>
      <w:r>
        <w:t>https://mcp.opencaselaw.ch/entscheid/ge_gerichte_ACJC_576_2024</w:t>
      </w:r>
    </w:p>
    <w:p>
      <w:r>
        <w:t>FR: GE_GERICHTE ACJC/576/2024 du 13 mai 2024</w:t>
      </w:r>
    </w:p>
    <w:p>
      <w:r>
        <w:t>IT: GE_GERICHTE ACJC/576/2024 del 13 maggio 2024</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(art. 308 al. 1 let. a et al. 2 CPC), ce qui est le cas en l’espèce.</w:t>
      </w:r>
    </w:p>
    <w:p>
      <w:r>
        <w:t>L’appel a en outre été interjeté dans le délai de trente jours et selon la forme prescrite par la loi (art. 130, 131 et 311 al. 1 CPC), de sorte qu’il est recevable.</w:t>
      </w:r>
    </w:p>
    <w:p>
      <w:r>
        <w:rPr>
          <w:b/>
        </w:rPr>
        <w:t>E. 1.2</w:t>
      </w:r>
    </w:p>
    <w:p>
      <w:r>
        <w:t>La Cour revoit la cause avec un plein pouvoir d’examen (art. 310 CPC). En particulier, elle contrôle librement l’appréciation des preuves effectuées par le juge de première instance (art. 157 CPC en relation avec l’art. 310 let. b CPC). Elle applique en outre la maxime des débats et le principe de disposition (art. 55 al. 1 et 58 al. 1 CPC).</w:t>
      </w:r>
    </w:p>
    <w:p>
      <w:r>
        <w:rPr>
          <w:b/>
        </w:rPr>
        <w:t>E. 2</w:t>
      </w:r>
    </w:p>
    <w:p>
      <w:r>
        <w:t>L'appelante a formé un certain nombre de griefs contre l'état de fait établi par le Tribunal. Celui-ci a été complété pour y intégrer tous les faits pertinents pour l'issue du litige.</w:t>
      </w:r>
    </w:p>
    <w:p>
      <w:r>
        <w:rPr>
          <w:b/>
        </w:rPr>
        <w:t>E. 3</w:t>
      </w:r>
    </w:p>
    <w:p>
      <w:r>
        <w:t>Le Tribunal a retenu que C______ avait admis qu'aucun mandat pour la rénovation de la maison sise [au chemin] 3______ n'avait été confié à l'appelante, puisqu'il avait expressément déclaré que, si tel avait été le cas, ils auraient signé un contrat. De plus, aucun élément du dossier ne permettait de retenir que les parties avaient la réelle et commune intention de conclure un tel mandat. Il n'était pas établi que l'intimé ait demandé à D______ de préparer les plans en 3D. Il apparaissait au contraire que ces plans avaient été faits spontanément par ce dernier qui avait un intérêt personnel à l'acquisition d'une pièce de la maison et souhaitait convaincre l'intimé de réaliser ce projet. Il n'était pas démontré que les parties avaient convenu que l'estimation effectuée par C______ le serait à titre onéreux. Les déclarations de ce dernier, ainsi que le fait qu'aucune facture n'avait été adressée à l'intimé à l'époque confirmaient au contraire que cette activité ne devait pas être rémunérée. Les parties n'avaient dès lors conclu aucun contrat et l'appelante devait être déboutée des fins de sa demande.</w:t>
      </w:r>
    </w:p>
    <w:p>
      <w:r>
        <w:t>Au fil d'une argumentation confuse et prolixe, l'appelante fait valoir que les déclarations de C______ mentionnées par le Tribunal ne sont pas déterminantes. Ce dernier faisait référence à un "contrat de direction des travaux de construction" qui ne lui avait "pas été confié", tout simplement car l'intimé avait "résilié le contrat de rénovation." En raison des relations d'amitié entre les parties, "l'appelante n'avait pas jugé utile de rédiger un contrat relatif à l'élaboration des premiers plans et devis globaux". L'absence de facture était due au fait que le comportement de l'intimé "laissait entendre qu'il ne comptait pas [la] rémunérer pour le travail exécuté". L'intimé avait accepté de la rémunérer pour le chantier de F______, ce qui impliquait qu'il devait faire de même pour le projet litigieux.</w:t>
      </w:r>
    </w:p>
    <w:p>
      <w:r>
        <w:t>- 7/12 -</w:t>
      </w:r>
    </w:p>
    <w:p>
      <w:r>
        <w:t>C/23522/2020 L'estimation rédigée par C______ comprenait d'ailleurs un montant de 40'000 fr. au titre des honoraires d'architecte. Le contrat devait être considéré comme conclu en application du principe de la confiance. Les parties avaient manifesté par actes concluants la volonté de conclure un contrat d'entreprise. Elle avait en outre droit à des "droits d'auteur sur les documents remis à l'intimé".</w:t>
      </w:r>
    </w:p>
    <w:p>
      <w:r>
        <w:t>3.1.1 Le contrat est parfait lorsque les parties ont, réciproquement et d’une manière concordante, manifesté leur volonté (art. 1 al. 1 CO). Le contrat suppose donc un échange de manifestations de volonté réciproques (art. 3 ss CO); le contrat est conclu si l’offre et l’acceptation sont concordantes. Les manifestations de volonté peuvent être tacites (art. 1 al. 2 CO; arrêt du Tribunal fédéral 4A_431/2019 du 27 février 2020 consid. 5.1 et les références).</w:t>
      </w:r>
    </w:p>
    <w:p>
      <w:r>
        <w:t>Tant pour déterminer si un contrat a été conclu que pour l’interpréter, le juge doit tout d’abord s’efforcer de déterminer la commune et réelle intention des parties, sans s’arrêter aux expressions ou dénominations inexactes dont elles ont pu se servir, soit par erreur, soit pour déguiser la véritable nature de leur convention (interprétation subjective; art. 18 al. 1 CO; ATF 144 III 93 consid. 5.2.2; ATF 132 III 626 consid. 3.1; arrêt du Tribunal fédéral 4A_431/2019 consid. 5.1 précité et les références).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140 III 86 consid. 4.1; arrêt du Tribunal fédéral 4A_152/2017 du 2 novembre 2017 consid. 4.1).</w:t>
      </w:r>
    </w:p>
    <w:p>
      <w:r>
        <w:t>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Ce principe permet d’imputer à une partie le sens objectif de sa déclaration ou de son comportement, même si celui-ci ne correspond pas à sa volonté intime (ATF 144 III 93 consid. 5.2.3; arrêts du Tribunal fédéral 4A_431/2019 précité et les références et 4A_463/2017 du 4 mai 2018 consid. 4.1). L’interprétation objective s’effectue non seulement d’après le texte et le contexte des déclarations, mais également sur le vu des circonstances qui les ont précédées et accompagnées, à l’exclusion des évènements postérieurs (ATF 142 III 239 consid. 5.2.1).</w:t>
      </w:r>
    </w:p>
    <w:p>
      <w:r>
        <w:t>- 8/12 -</w:t>
      </w:r>
    </w:p>
    <w:p>
      <w:r>
        <w:t>C/23522/2020</w:t>
      </w:r>
    </w:p>
    <w:p>
      <w:r>
        <w:t>3.1.2 La rémunération due à l'architecte est réglée par l'art. 394 al. 3 CO qui prévoit qu'une rémunération est due au mandataire si la convention ou l'usage lui en assure une. Il se justifie en effet d'appliquer l'art. 394 al. 3 CO relatif au mandat à l'ensemble des prestations, même si le contrat d'architecte comporte également des prestations relevant du contrat d'entreprise, car une distinction entre les deux catégories n'engendrerait pratiquement aucune différence dans le résultat (arrêt du Tribunal fédéral 4A_230/2013 du 17 septembre 2013 consid. 2 et les références citées). Lorsque les parties n'ont pas explicitement convenu d'une rémunération pour les prestations fournies par l'architecte, ce dernier est autorisé à réclamer la rémunération usuelle selon l'art. 394 al. 3 CO, à déterminer d'après la valeur du travail fourni et les dépenses encourues, selon l'art. 374 CO. Si nécessaire, le juge arrête donc une rémunération objectivement proportionnée aux services rendus, en tenant compte notamment du genre et de la durée de la mission accomplie, de son importance et de ses difficultés, ainsi que de la responsabilité assumée par l'architecte. Les règlements et tarifs SIA ne sont déterminants que dans la mesure où les parties ont expressément ou tacitement convenu de s'y référer; à défaut, ils n'ont pas valeur d'usage au regard de l'art. 394 al. 3 CO (arrêt du Tribunal fédéral 4A_230/2013 du 17 septembre 2013 consid. 2 et les références citées). Dans le contrat d'entreprise, sauf accord contraire, les frais de pourparlers doivent être supportés, en principe, par l'entrepreneur, même si les travaux subséquents ne lui sont pas adjugés. Toutefois, celui qui, dans le cadre de pourparlers visant à la conclusion d'un contrat d'entreprise totale, demande à un entrepreneur d'effectuer une étude préliminaire allant bien au-delà des travaux nécessaires à l'établissement d'une simple offre, afin d'évaluer le coût de la construction projetée, ne peut pas se soustraire à son obligation de rémunérer l'entrepreneur en faisant valoir qu'il n'a finalement pas accepté l'offre globale faite par ce dernier (ATF 119 II 40 consid. 2). En vertu de l'art. 8 CC, lorsque le litige porte sur le caractère onéreux d’un contrat, il incombe à celui qui se prétend créancier de prouver les faits dont il entend déduire des droits, soit de démontrer qu’une rémunération a été convenue (ATF 127 III 159 consid. 2a et les références citées). Il incombe par ailleurs à l'architecte d'alléguer et de prouver, dans le procès, les faits pertinents pour son évaluation. Par conséquent, le juge doit refuser toute rémunération si aucune preuve concluante ne lui est présentée (arrêt du Tribunal fédéral 4A_230/2013 précité).</w:t>
      </w:r>
    </w:p>
    <w:p>
      <w:r>
        <w:rPr>
          <w:b/>
        </w:rPr>
        <w:t>E. 3.2</w:t>
      </w:r>
    </w:p>
    <w:p>
      <w:r>
        <w:t>En l'espèce, le Tribunal a considéré à juste titre que l'appelante n'avait pas établi la véracité des allégations figurant dans sa demande selon lesquelles elle avait conclu avec l'intimé un contrat portant sur la rénovation de la maison [du chemin] 3______. C______ a en effet expressément reconnu lors de son</w:t>
      </w:r>
    </w:p>
    <w:p>
      <w:r>
        <w:t>- 9/12 -</w:t>
      </w:r>
    </w:p>
    <w:p>
      <w:r>
        <w:t>C/23522/2020 interrogatoire par le Tribunal qu'il n'avait pas obtenu le mandat pour ladite maison. Les explications confuses de l'appelante, qui tente de démontrer que le Tribunal aurait mal apprécié cette affirmation, n'emportent pas la conviction.</w:t>
      </w:r>
    </w:p>
    <w:p>
      <w:r>
        <w:t>A cela s'ajoute qu'il ressort de plusieurs autres éléments du dossier que les parties n'avaient pas convenu que les prestations dont se prévaut l'appelante, fournies par D______ et C______, seraient rémunérées.</w:t>
      </w:r>
    </w:p>
    <w:p>
      <w:r>
        <w:t>Le seul document attestant d'une activité de la part de C______ est l'estimation des coûts de rénovation établie en décembre 2015 et produite sous pièce 8 de l'appelante. Le courrier adressé par cette dernière à l'intimé le 8 décembre 2015, concernant l'état de la maison litigieuse, atteste du fait qu'à cette époque aucun mandat ne lui avait été confié, puisque l'appelante souhaite à l'intimé "bonne suite" pour ses démarches, ce qui implique qu'elle n'avait pas été chargée desdites démarches.</w:t>
      </w:r>
    </w:p>
    <w:p>
      <w:r>
        <w:t>Ni C______, ni D______ n'ont confirmé lors de leur interrogatoire par le Tribunal que l'intimé avait accepté de rémunérer l'appelante pour l'établissement du document estimatif des coûts de rénovation de la maison daté de décembre 2015. Le fait qu'aucune facture n'ait été adressée à l'intimé à ce titre le confirme. Les explications de l'appelante sur les raisons de l'absence de facture, à savoir qu'elle savait d'avance que celle-ci ne serait pas acquittée, tendent plutôt à confirmer la thèse de l'intimé, en ce sens que si l'appelante savait que sa facture ne serait pas acquittée, c'est bien qu'elle était au courant qu'aucune rémunération n'avait été prévue.</w:t>
      </w:r>
    </w:p>
    <w:p>
      <w:r>
        <w:t>Le seul fait que l'estimation précitée prévoie un montant de 40'000 fr. au titre des honoraires d'architecte n'implique pas que l'intimé ait accepté de confier le mandat de rénovation à l'appelante et de lui verser ce montant. Cette estimation n'est en particulier pas contresignée pour accord par l'intimé.</w:t>
      </w:r>
    </w:p>
    <w:p>
      <w:r>
        <w:t>Contrairement à ce que fait valoir l'appelante, le fait que l'intimé ait versé une rémunération à l'appelante pour le chantier de F______ n'est d'aucune pertinence pour trancher la question de savoir si une rémunération est due dans la présente cause. La situation de ces deux maisons n'est pas la même puisque les travaux de la maison de F______ ont été effectués sur la base d'un contrat d'architecte écrit, signé entre les parties. Ce précédent tendrait au demeurant plutôt à confirmer que les animateurs de l'appelante avaient l'habitude, conformément à l'usage, de formaliser par écrit les accords conclus dans le cadre de leur activité professionnelle. C______ l'a d'ailleurs confirmé lors de son audition par le Tribunal, puisqu'il a expliqué qu'il aurait signé un contrat avec l'intimé s'il avait obtenu le mandat. A supposer que l'estimation précitée doive être considérée comme une offre, comme le soutient l'appelante dans sa réplique, il n'y a, compte tenu de ce qui</w:t>
      </w:r>
    </w:p>
    <w:p>
      <w:r>
        <w:t>- 10/12 -</w:t>
      </w:r>
    </w:p>
    <w:p>
      <w:r>
        <w:t>C/23522/2020 précède, pas lieu de déroger à la règle selon laquelle en principe les frais liés à l'établissement d'une offre doivent être supportés par celui-ci qui la soumet.</w:t>
      </w:r>
    </w:p>
    <w:p>
      <w:r>
        <w:t>Il n'est pas non plus établi que l'intimé aurait demandé à l'appelante d'établir les plans en 3D confectionnés par D______ et produits sous pièce 7bis de l'appelante. D______ n'a pas confirmé lors de son interrogatoire que ces plans avaient été établis sur demande de l'intimé. Il ressort au contraire des déclarations concordantes des précités que ces plans ont été établis par D______ en lien avec son souhait d'acheter personnellement et de transformer pour son propre usage le grenier de la maison du no. 6______, chemin 3______. D______ a ainsi soumis ces plans à l'intimé en qualité de partenaire potentiel de son propre projet, mais non en tant que mandataire dans le cadre d'un projet de l'intimé.</w:t>
      </w:r>
    </w:p>
    <w:p>
      <w:r>
        <w:t>Le fait que les plans en question le concernaient personnellement est attesté par la mention "projet n° 1 cession pour D______" figurant au bas de l'un des plans. De plus, l'un des plans mentionne qu'il s'agit d'un "projet de répartition en faveur de la parcelle n° 5______", laquelle appartient au précité. Il n'est par ailleurs pas contesté que ce projet n'a pas abouti.</w:t>
      </w:r>
    </w:p>
    <w:p>
      <w:r>
        <w:t>Il résulte de ce qui précède que les plans en 3D ont été établis par D______ dans le cadre d'un projet qui ne concernait pas l'appelante, mais qui le concernait personnellement. L'appelante ne peut dès lors en déduire aucun droit.</w:t>
      </w:r>
    </w:p>
    <w:p>
      <w:r>
        <w:t>A cela s'ajoute que l'intimé n'a jamais accepté de rémunérer l'appelante pour ce projet.</w:t>
      </w:r>
    </w:p>
    <w:p>
      <w:r>
        <w:t>L'appelante allègue pour la première fois dans sa réplique devant la Cour qu'elle aurait droit à des droits d'auteur sur les documents remis à l'intimé. Ces allégations, qui ne reposent sur rien et sont motivés de manière lapidaire, sont à la fois manifestement irrecevables (art. 317 et 311 CPC) et infondées.</w:t>
      </w:r>
    </w:p>
    <w:p>
      <w:r>
        <w:t>Il résulte de ce qui précède qu'il est établi que l'appelante et l'intimé n'ont conclu aucun contrat prévoyant que la première toucherait une rémunération pour l'activité dont elle se prévaut.</w:t>
      </w:r>
    </w:p>
    <w:p>
      <w:r>
        <w:t>Même s'il fallait considérer, ce qui n'est pas le cas, que l'appelante avait établi que l'intimé s'était engagé à la rémunérer pour ladite activité, elle devrait néanmoins être déboutée de ses conclusions en paiement. L'appelante n'a en effet pas allégué, ni a fortiori établi les éléments pertinents nécessaires pour calculer le montant de sa rémunération, comme par exemple le temps consacré aux tâches effectuées et le tarif applicable.</w:t>
      </w:r>
    </w:p>
    <w:p>
      <w:r>
        <w:t>Le Tribunal a ainsi considéré à juste titre que la volonté réelle des parties était établie et que celles-ci avaient n'avaient pas conclu de contrat ni convenu qu'une</w:t>
      </w:r>
    </w:p>
    <w:p>
      <w:r>
        <w:t>- 11/12 -</w:t>
      </w:r>
    </w:p>
    <w:p>
      <w:r>
        <w:t>C/23522/2020 rémunération serait versée à l'appelante pour les prestations dont elle se prévaut dans la présente procédure.</w:t>
      </w:r>
    </w:p>
    <w:p>
      <w:r>
        <w:t>Il n'y a dès lors pas de place pour une interprétation des déclarations de volonté des parties selon le principe de la confiance.</w:t>
      </w:r>
    </w:p>
    <w:p>
      <w:r>
        <w:t>Le jugement querellé sera par conséquent confirmé.</w:t>
      </w:r>
    </w:p>
    <w:p>
      <w:r>
        <w:rPr>
          <w:b/>
        </w:rPr>
        <w:t>E. 4</w:t>
      </w:r>
    </w:p>
    <w:p>
      <w:r>
        <w:t>L'appelante qui succombe, sera condamnée aux frais de son appel (art. 106 CPC).</w:t>
      </w:r>
    </w:p>
    <w:p>
      <w:r>
        <w:t>Les frais judiciaires seront fixés à 1'800 fr. (art. 17 et 35 RTFMC) et compensés avec l'avance du même montant versée par l'appelante, acquise à l'Etat de Genève (art. 111 CPC).</w:t>
      </w:r>
    </w:p>
    <w:p>
      <w:r>
        <w:t>Les dépens dus à l'intimé seront fixés à 2'500 fr., débours et TVA inclus (art. 84, 85 et 90 RTFMC). * * * * *</w:t>
      </w:r>
    </w:p>
    <w:p>
      <w:r>
        <w:t>- 12/12 -</w:t>
      </w:r>
    </w:p>
    <w:p>
      <w:r>
        <w:t>C/23522/2020 PAR CES MOTIFS, La Chambre civile : A la forme : Déclare recevable l'appel interjeté par A______ SA contre le jugement JTPI/7783/2023 rendu le 30 juin 2023 par le Tribunal de première instance dans la cause C/23522/2020. Au fond : Confirme le jugement querellé. Déboute les parties de toutes autres conclusions. Sur les frais : Met à la charge de A______ SA les frais judiciaires d'appel, fixés à 1'800 fr. et compensés avec l'avance versée, acquise à l'Etat de Genève. Condamne A______ SA à verser 2'500 fr. de dépens d'appel à B______. Siégeant : Monsieur Laurent RIEBEN, président; Madame Fabienne GEISINGER-MARIETHOZ, Madame Ursula ZEHETBAUER GHAVAMI,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