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ACJC/576/2014 vom 19. Mai 2014</w:t>
      </w:r>
    </w:p>
    <w:p>
      <w:r>
        <w:t>GE Cour de justice, 2014-05-19, FR</w:t>
      </w:r>
    </w:p>
    <w:p>
      <w:r>
        <w:rPr>
          <w:b/>
        </w:rPr>
        <w:t xml:space="preserve">Quelle: </w:t>
      </w:r>
      <w:r>
        <w:t>https://mcp.opencaselaw.ch/entscheid/ge_gerichte_ACJC_576_2014</w:t>
      </w:r>
    </w:p>
    <w:p>
      <w:r>
        <w:t>FR: GE_GERICHTE ACJC/576/2014 du 19 mai 2014</w:t>
      </w:r>
    </w:p>
    <w:p>
      <w:r>
        <w:t>IT: GE_GERICHTE ACJC/576/2014 del 19 maggio 2014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est recevable, sans égard à la valeur litigieuse, contre les ordon- nances d'instruction (art. 319 let. b CPC), s’il est formé dans les dix jours, (art. 321 al. 2 CPC), ceci dans les cas prévus par la loi ou lorsqu'elles peuvent causer un préjudice difficilement réparable (art. 319 let. b ch. 1 et 2 CPC).</w:t>
      </w:r>
    </w:p>
    <w:p>
      <w:r>
        <w:rPr>
          <w:b/>
        </w:rPr>
        <w:t>E. 1.2</w:t>
      </w:r>
    </w:p>
    <w:p>
      <w:r>
        <w:t>La décision entreprise a pour objet d’ordonner à la bailleresse de procéder à un calcul de rendement et de lui fixer un délai pour la production de son calcul et des pièces correspondantes et formuler une offre de preuve à ce sujet. Il s'agit ainsi d'une ordonnance d'instruction au sens de l'art. 319 lit. b CPC, puisqu'elle statue sur l'opportunité et les modalités de l'administration des preuves,</w:t>
      </w:r>
    </w:p>
    <w:p>
      <w:r>
        <w:t>- 5/7 -</w:t>
      </w:r>
    </w:p>
    <w:p>
      <w:r>
        <w:t>C/14520/2013 à savoir en l'espèce l'opportunité de l'administration des preuves relatives au cal- cul de rendement.</w:t>
      </w:r>
    </w:p>
    <w:p>
      <w:r>
        <w:rPr>
          <w:b/>
        </w:rPr>
        <w:t>E. 1.3</w:t>
      </w:r>
    </w:p>
    <w:p>
      <w:r>
        <w:t>Formé le 24 décembre 2013, contre une ordonnance datée du 13 décembre 2013, mais communiquée par pli du greffe du 16 décembre 2013, le recours inter- vient en temps utile.</w:t>
      </w:r>
    </w:p>
    <w:p>
      <w:r>
        <w:rPr>
          <w:b/>
        </w:rPr>
        <w:t>E. 1.4</w:t>
      </w:r>
    </w:p>
    <w:p>
      <w:r>
        <w:t>Dès lors que la loi ne prévoit in casu pas de cas de recours spécifique (art. 319 let. b ch. 1 CPC), il convient d'examiner si la recourante peut se prévaloir d'un préjudice difficilement réparable (art. 319 let. b ch. 2 CPC). La notion de "préjudice difficilement réparable" est plus large que celle de "pré- judice irréparable" au sens de l'art. 93 al. 1 let. a LTF (ATF 137 III 380 consid. 2, in SJ 2012 I 73; 138 III 378 consid. 6.3). Est considérée comme "préjudice diffi- cilement réparable", toute incidence dommageable (y compris financière ou tem- porelle), pourvu qu'elle soit difficilement réparable. L'instance supérieure doit se montrer exigeante, voire restrictive, avant d'admettre l'accomplissement de cette dernière condition, sous peine d'ouvrir le recours à toute décision ou ordonnance d'instruction, ce que le législateur a clairement exclu (JEANDIN, in Code de pro- cédure civile annoté, Bâle 2011, n. 22 ad art. 319 CPC; HOHL, Procédure civile, tome II, n. 2485; STAEHELIN/STAEHELIN/GROLIMUND, Zivilprozessrecht, 2008, n. 31, p. 446; BRUNNER/GASSER/SCHWANDER, Kommentar Schweizerische Zivil- prozessordnung, 2011, n. 39 ad art. 319 CPC). Une simple prolongation de la procédure ou un accroissement des frais ne consti- tue pas un préjudice difficilement réparable (ACJC/111/2012 du 26 janvier 2012 consid. 2; SPÜHLER, Basler Kommentar, Schweizerische Zivil-prozessordnung, 2ème éd., 2013, n. 7 ad art. 319 CPC; HOFFMANN-NOWOTNY, ZPO-Rechtsmittel, Berufung und Beschwerde, KUNZ/HOFFMANN-NOWOTNY/STAUBER [éd], 2013, n. 25 ad art. 319 CPC). Il appartient au recourant d'alléguer et d'établir la possibilité que la décision inci- dente lui cause un préjudice difficilement réparable, à moins que cela ne fasse d'emblée aucun doute (par analogie : ATF 134 III 426 consid. 1.2 et 133 III 629 consid. 2.3.1; HALDY, Code de procédure civile commenté, BOHNET/HALDY/ JEANDIN/SCHWEIZER/TAPPY [éd.], 2011, n. 9 ad art. 126 CPC).</w:t>
      </w:r>
    </w:p>
    <w:p>
      <w:r>
        <w:rPr>
          <w:b/>
        </w:rPr>
        <w:t>E. 1.5</w:t>
      </w:r>
    </w:p>
    <w:p>
      <w:r>
        <w:t>En l'espèce, la recourante fait valoir que déférer à l’ordonnance dont est recours supposerait des démarches administratives et comptables, tant de sa part que de la part de son mandataire, lesquelles seraient coûteuses et importantes, sans que le bien-fondé de la production des pièces requises ne soit établi. La recourante n'indique toutefois pas en quoi la production d'un calcul de rende- ment et des pièces qui le sous-tendent serait une activité coûteuse et importante. D'ailleurs, ce faisant, elle admet que les pièces sont disponibles moyennant quel- ques efforts. En particulier, la recourante n'explique pas en quoi l'ordonnance du Tribunal entraînerait des "démarches" plus importantes que celles inhérentes à</w:t>
      </w:r>
    </w:p>
    <w:p>
      <w:r>
        <w:t>- 6/7 -</w:t>
      </w:r>
    </w:p>
    <w:p>
      <w:r>
        <w:t>C/14520/2013 toute procédure en justice portant sur la détermination du montant du loyer. Elle ne fait pas état de l'importance du coût allégué que cela entraînerait. Elle échoue ainsi à établir l'existence d'un préjudice difficilement réparable, de sorte que son recours est irrecevable pour ce motif.</w:t>
      </w:r>
    </w:p>
    <w:p>
      <w:r>
        <w:rPr>
          <w:b/>
        </w:rPr>
        <w:t>E. 2</w:t>
      </w:r>
    </w:p>
    <w:p>
      <w:r>
        <w:t>Aux termes de l'art. 112 al. 1 lit. d LTF, le présent arrêt doit indiquer la valeur liti- gieuse. Selon la jurisprudence constante du Tribunal fédéral, les contestations portant sur l'usage d'une chose louée sont de nature pécuniaire (arrêt du Tribunal fédéral 4C.310/1996 du 16 avril 1997 = SJ 1997 p. 493 consid. 1). Lorsque l'action ne porte pas sur le paiement d'une somme d'argent déterminée, le Tribunal détermine la valeur litigieuse si les parties n'arrivent pas à s'entendre sur ce point ou si la valeur qu'elles avancent est manifestement erronée (art. 91 al. 2 CPC). La détermination de la valeur litigieuse suit les mêmes règles que pour la procédure devant le Tribunal fédéral (RETORNAZ in : Procédure civile suisse, Les grands thèmes pour les praticiens, Neuchâtel, 2010, p. 363; SPÜHLER BSK ZPO, no 8 ad art. 308). S'agissant d'une contestation portant sur la fixation du montant du loyer, la valeur litigieuse est déterminée par les conclusions restées litigieuses devant l'autorité précédente (art. 91 al. 1 CPC); si la durée de prestations périodiques est indé- terminée, le montant annuel est multiplié par vingt (art. 92 al. 2 CPC). La valeur litigieuse correspond à la différence entre l'augmentation proposée et le montant accepté par le locataire par mois, annualisée et capitalisée sur vingt ans (arrêt du Tribunal fédéral 4A_484/2011 du 2 novembre 2011 consid. 1). En l'espèce, la bailleresse demande que le loyer annuel du logement soit fixé à 27'600 fr., alors que les locataires demandent qu’il soit fixé à 12'348 fr., soit une différence de 15'252 fr. Multiplié par vingt, la valeur litigieuse est de 305'040 fr.</w:t>
      </w:r>
    </w:p>
    <w:p>
      <w:r>
        <w:rPr>
          <w:b/>
        </w:rPr>
        <w:t>E. 3</w:t>
      </w:r>
    </w:p>
    <w:p>
      <w:r>
        <w:t>A teneur de l'art. 22 al. 1 LaCC, il n'est pas prélevé de frais dans les causes sou- mises à la juridiction des baux et loyers, étant rappelé que l'art. 116 al. 1 CPC autorise les cantons à prévoir des dispenses de frais dans d'autres litiges que ceux visés à l'art. 114 CPC (arrêt du Tribunal fédéral 4A_607/2012 du 21 février 2013 consid. 2.6). * * * * *</w:t>
      </w:r>
    </w:p>
    <w:p>
      <w:r>
        <w:t>- 7/7 -</w:t>
      </w:r>
    </w:p>
    <w:p>
      <w:r>
        <w:t>C/14520/2013 PAR CES MOTIFS, La Chambre des baux et loyers : Déclare irrecevable le recours formé le 24 décembre 2013 par C______ contre l'ordonnance du 13 décembre 2013 rendue par le Tribunal des baux et loyers dans la cause C/14520/2013. Dit que la procédure est gratuite. Déboute les parties de toutes autres conclusions. Siégeant : Madame Nathalie LANDRY-BARTHE, présidente; Madame Daniela CHIABUDINI et Madame Alix FRANCOTTE CONUS juges; Monsieur Mark MULLER et Monsieur Thierry STICHER,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 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 cf. consid. 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