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ACJC/570/2020 vom 23. April 2020</w:t>
      </w:r>
    </w:p>
    <w:p>
      <w:r>
        <w:t>GE Cour de justice, 2020-04-23, FR</w:t>
      </w:r>
    </w:p>
    <w:p>
      <w:r>
        <w:rPr>
          <w:b/>
        </w:rPr>
        <w:t xml:space="preserve">Quelle: </w:t>
      </w:r>
      <w:r>
        <w:t>https://mcp.opencaselaw.ch/entscheid/ge_gerichte_ACJC_570_2020</w:t>
      </w:r>
    </w:p>
    <w:p>
      <w:r>
        <w:t>FR: GE_GERICHTE ACJC/570/2020 du 23 avril 2020</w:t>
      </w:r>
    </w:p>
    <w:p>
      <w:r>
        <w:t>IT: GE_GERICHTE ACJC/570/2020 del 23 aprile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- 4/7 -</w:t>
      </w:r>
    </w:p>
    <w:p>
      <w:r>
        <w:t>C/15228/2019</w:t>
      </w:r>
    </w:p>
    <w:p>
      <w:r>
        <w:t>Le recours est recevable contre les décisions finales de première instance qui ne peuvent faire l'objet d'un appel (art. 319 let. a CPC).</w:t>
      </w:r>
    </w:p>
    <w:p>
      <w:r>
        <w:t>S'agissant d'une affaire soumise à la procédure sommaire (art. 251 let. a CPC), l'appel, respectivement le recours, doit être introduit dans les dix jours à compter de la notification de la décision motivée (art. 314 al. 1 et 321 al. 2 CPC).</w:t>
      </w:r>
    </w:p>
    <w:p>
      <w:r>
        <w:t>Selon l'art. 149 CPC in fine, le tribunal statue définitivement sur la restitution.</w:t>
      </w:r>
    </w:p>
    <w:p>
      <w:r>
        <w:t>Cela exclut en principe tout appel ou recours sur l'admission ou le rejet de la requête en restitution (TAPPY, in Commentaire romand, 2019, n. 12 ad art. 149 CPC).</w:t>
      </w:r>
    </w:p>
    <w:p>
      <w:r>
        <w:t>Le Tribunal fédéral a cependant admis que la décision de refus de restitution d'une autorité était susceptible d'appel ou de recours lorsque, par l'effet d'un délai de péremption, le refus entraînait la perte définitive du droit en cause. Ainsi, le refus de la restitution est une décision finale lorsque l'autorité de conciliation ou le tribunal de première instance a déjà clos la procédure et que la requête de la partie défaillante tend à la faire rouvrir (ATF 139 III 478 consid. 6.3).</w:t>
      </w:r>
    </w:p>
    <w:p>
      <w:r>
        <w:rPr>
          <w:b/>
        </w:rPr>
        <w:t>E. 1.2</w:t>
      </w:r>
    </w:p>
    <w:p>
      <w:r>
        <w:t>En l'espèce, par sa requête de restitution, la société tend à faire rouvrir la procédure ayant conduit au prononcé de la mainlevée définitive de l'opposition qu'elle avait formée au commandement de payer. Ainsi, en application de la jurisprudence précitée, le refus de restitution du délai équivaut à une décision finale puisqu'il prive la recourante de la voie de droit dans le cadre de la procédure de première instance.</w:t>
      </w:r>
    </w:p>
    <w:p>
      <w:r>
        <w:t>Il s'ensuit que la voie de l'appel ou du recours est ouverte.</w:t>
      </w:r>
    </w:p>
    <w:p>
      <w:r>
        <w:t>S'agissant d'une procédure de mainlevée, seule la voie du recours est ouverte (art. 319 let. b et 309 let. b ch. 3 CPC). Déposé selon la forme et le délai prescrits,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tomme II, 2ème éd., 2010, n° 2307).</w:t>
      </w:r>
    </w:p>
    <w:p>
      <w:r>
        <w:rPr>
          <w:b/>
        </w:rPr>
        <w:t>E. 1.4</w:t>
      </w:r>
    </w:p>
    <w:p>
      <w:r>
        <w:t>Les conclusions, les allégations de faits et des preuves nouvelles sont irrecevables (art. 326 al. 1 CPC).</w:t>
      </w:r>
    </w:p>
    <w:p>
      <w:r>
        <w:t>Il s'ensuit que la pièce nouvelle déposée par la recourante à l'appui de sa réplique est irrecevable, ainsi que les allégués de fait s'y rappportant.</w:t>
      </w:r>
    </w:p>
    <w:p>
      <w:r>
        <w:t>- 5/7 -</w:t>
      </w:r>
    </w:p>
    <w:p>
      <w:r>
        <w:t>C/15228/2019</w:t>
      </w:r>
    </w:p>
    <w:p>
      <w:r>
        <w:rPr>
          <w:b/>
        </w:rPr>
        <w:t>E. 2</w:t>
      </w:r>
    </w:p>
    <w:p>
      <w:r>
        <w:t>La recourante soutient que ce serait sa faute qu'elle n'a pas assisté à l'audience du Tribunal, ce qu'elle avait démontré dans sa demande de restitution.</w:t>
      </w:r>
    </w:p>
    <w:p>
      <w:r>
        <w:rPr>
          <w:b/>
        </w:rPr>
        <w:t>E. 2.1</w:t>
      </w:r>
    </w:p>
    <w:p>
      <w:r>
        <w:t>Selon l'art. 148 al. 1 CPC, le tribunal peut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(art. 148 al. 2 CPC).</w:t>
      </w:r>
    </w:p>
    <w:p>
      <w:r>
        <w:t>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5A_414/2016 du 5 juillet 2016 consid. 4.1; 5A_927/2015 du 22 décembre 2015 consid. 5.1 et les références; 4A_163/2015 du 12 octobre 2015 consid. 4.1).</w:t>
      </w:r>
    </w:p>
    <w:p>
      <w:r>
        <w:t>A ainsi été jugée non fautive l'inobservation d'un délai dû à un accident, une maladie subite ou un accouchement qui a empêché la partie ou son mandataire d'agir ou de comparaître. Constituent une faute légère le non-respect du délai ou la non comparution résultant d'une erreur de lieu ou d'agenda; si un acte a effectivement été préparé dans le délai, mais n'a par mégarde pas été posté le jour même, voire si un autre acte a été envoyé par inadvertance, ou si le défaillant n'a pas effectivement connu le délai ou l'audience en question, fût-ce en raison d'un manquement de sa part (TAPPY, in Commentaire romand, Code de procédure civile, 2ème éd. 2019, n. 14 et 15 ad art. 148 CPC).</w:t>
      </w:r>
    </w:p>
    <w:p>
      <w:r>
        <w:t>Celui qui était au courant du délai ou de la convocation et les a sciemment ignorés ne commet pas une faute légère, quelles que soient les situations particulières qu'il pourrait invoquer (TAPPY, op. cit., n. 16 ad art. 148 CPC).</w:t>
      </w:r>
    </w:p>
    <w:p>
      <w:r>
        <w:t>L'art. 148 CPC laisse une grande marge d'appréciation au tribunal, la disposition étant formulée comme une "Kann-Vorschrift". Cela pourrait permettre à l'autorité compétente de refuser de restituer un délai même si les conditions requises par cette disposition sont remplies. Elle ne saurait agir arbitrairement, mais cette formulation pourrait justifier des pratiques variables selon les circonstances, le type de procédure, la nature du délai ou de l'audience dont la restitution est sollicitée, etc. (TAPPY, op. cit., n. 20 ad art. 148 CPC).</w:t>
      </w:r>
    </w:p>
    <w:p>
      <w:r>
        <w:rPr>
          <w:b/>
        </w:rPr>
        <w:t>E. 2.2</w:t>
      </w:r>
    </w:p>
    <w:p>
      <w:r>
        <w:t>En l'espèce, l'usage fait par le Tribunal de son pouvoir d'appréciation ne souffre pas la critique. En effet, la seule pièce produite, soit un échange de courriels entre les administrateurs, à la veille de l'audience, ne permet pas de rendre vraisemblable son allégué selon lequel l'un des administrateurs n'aurait pas pu prendre l'avion pour se rendre à Genève, ni aurait été empêché de toute autre manière de se rendre à l'audience.</w:t>
      </w:r>
    </w:p>
    <w:p>
      <w:r>
        <w:t>- 6/7 -</w:t>
      </w:r>
    </w:p>
    <w:p>
      <w:r>
        <w:t>C/15228/2019</w:t>
      </w:r>
    </w:p>
    <w:p>
      <w:r>
        <w:t>C'est ainsi à bon droit que le Tribunal n'a pas restitué le délai et prononcé le jugement déféré sans convoquer une nouvelle audience.</w:t>
      </w:r>
    </w:p>
    <w:p>
      <w:r>
        <w:t>Le recours sera dès lors rejeté.</w:t>
      </w:r>
    </w:p>
    <w:p>
      <w:r>
        <w:rPr>
          <w:b/>
        </w:rPr>
        <w:t>E. 3</w:t>
      </w:r>
    </w:p>
    <w:p>
      <w:r>
        <w:t>Les frais judiciaires du recours seront arrêtés à 300 fr. (art. 61 al. 1 OELP) et mis à la charge de la recourante, qui succombe (art. 106 al. 1 CPC). Ils seront entièrement compensés avec l'avance de frais fournie, qui reste acquise à l'Etat de Genève (art. 111 al. 1 CPC).</w:t>
      </w:r>
    </w:p>
    <w:p>
      <w:r>
        <w:t>La recourante sera également condamnée aux dépens du recours, arrêtés à 800 fr., débours et TVA compris (art. 84, 85, 89 et 90 RTFMC; art. 23, 25 et 26 LaCC). * * * * *</w:t>
      </w:r>
    </w:p>
    <w:p>
      <w:r>
        <w:t>- 7/7 -</w:t>
      </w:r>
    </w:p>
    <w:p>
      <w:r>
        <w:t>C/15228/2019 PAR CES MOTIFS, La Chambre civile : A la forme : Déclare recevable le recours interjeté le 27 janvier 2020 par A______ SA contre le chiffre 1 du dispositif du jugement JTPI/588/2020 rendu le 14 janvier 2020 par le Tribunal de première instance dans la cause C/15228/2019-9 SML. Au fond : Le rejette. Déboute les parties de toutes autres conclusions. Sur les frais : Arrête les frais judiciaires du recours à 300 fr., compensés avec l'avance de frais, acquise à l'Etat de Genève, et les met à la charge de A______ SA. Condamne A______ SA à verser à B______ la somme de 800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