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ACJC/569/2021 vom 7. Mai 2021</w:t>
      </w:r>
    </w:p>
    <w:p>
      <w:r>
        <w:t>GE Cour de justice, 2021-05-07, FR</w:t>
      </w:r>
    </w:p>
    <w:p>
      <w:r>
        <w:rPr>
          <w:b/>
        </w:rPr>
        <w:t xml:space="preserve">Quelle: </w:t>
      </w:r>
      <w:r>
        <w:t>https://mcp.opencaselaw.ch/entscheid/ge_gerichte_ACJC_569_2021</w:t>
      </w:r>
    </w:p>
    <w:p>
      <w:r>
        <w:t>FR: GE_GERICHTE ACJC/569/2021 du 7 mai 2021</w:t>
      </w:r>
    </w:p>
    <w:p>
      <w:r>
        <w:t>IT: GE_GERICHTE ACJC/569/2021 del 7 maggio 2021</w:t>
      </w:r>
    </w:p>
    <w:p>
      <w:pPr>
        <w:pStyle w:val="Heading2"/>
      </w:pPr>
      <w:r>
        <w:t>Erwägungen</w:t>
      </w:r>
    </w:p>
    <w:p>
      <w:r>
        <w:rPr>
          <w:b/>
        </w:rPr>
        <w:t>E. 1.1</w:t>
      </w:r>
    </w:p>
    <w:p>
      <w:r>
        <w:t>En matière de séquestre, la procédure sommaire s'applique (art. 251 let. a CPC).</w:t>
      </w:r>
    </w:p>
    <w:p>
      <w:r>
        <w:t>Aux termes de l'art. 309 let. b ch. 6 CPC, l'appel est irrecevable dans les affaires de séquestre (art. 272 et 278 LP).</w:t>
      </w:r>
    </w:p>
    <w:p>
      <w:r>
        <w:t>Le recours des articles 319 ss CPC est ouvert dans de telles affaires, qu'il s'agisse d'une décision de refus de séquestre ou d'une décision sur opposition au séquestre (HOHL, Procédure civile, tome II, 2ème éd., 2010, n° 1627 s. 2ème éd. en 2016; arrêt du Tribunal fédéral 5A_508/2012 du 28 août 2012, consid. 3.1).</w:t>
      </w:r>
    </w:p>
    <w:p>
      <w:r>
        <w:rPr>
          <w:b/>
        </w:rPr>
        <w:t>E. 1.2</w:t>
      </w:r>
    </w:p>
    <w:p>
      <w:r>
        <w:t>Le recours, écrit et motivé, doit être formé dans un délai de dix jours à compter de la notification de la décision (art. 321 al. 1 et 2 CPC).</w:t>
      </w:r>
    </w:p>
    <w:p>
      <w:r>
        <w:t>En l'espèce, le recours a été interjeté dans le délai et selon la forme prévus par la loi, de sorte qu'il est recevable.</w:t>
      </w:r>
    </w:p>
    <w:p>
      <w:r>
        <w:rPr>
          <w:b/>
        </w:rPr>
        <w:t>E. 2</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5P_334/2006 du 4 septembre 2006 consid. 3 et 5A_508/2012 du 28 août 2012).</w:t>
      </w:r>
    </w:p>
    <w:p>
      <w:r>
        <w:t>- 4/7 -</w:t>
      </w:r>
    </w:p>
    <w:p>
      <w:r>
        <w:t>C/5993/2021</w:t>
      </w:r>
    </w:p>
    <w:p>
      <w:r>
        <w:rPr>
          <w:b/>
        </w:rPr>
        <w:t>E. 3</w:t>
      </w:r>
    </w:p>
    <w:p>
      <w:r>
        <w:t>Le Tribunal a considéré que le recourant n'avait pas rendu vraisemblable que le débiteur était titulaire à ce jour d'un compte auprès de [la banque] C______ car la date de l'avis de séquestre produit avait été caviardée, de même que celle du fax en bas de page. D'éventuels avoirs du débiteur en mains de [la banque] E______ ne pouvaient pas être séquestrés à Genève car le siège de cette société se trouvait à ______ [BE]. Aucun point de rattachement prépondérant avec la succursale de E______ [à] D______ [GE] n'avait été rendu vraisemblable, étant précisé que cette succursale n'était pas mentionnée dans le document produit.</w:t>
      </w:r>
    </w:p>
    <w:p>
      <w:r>
        <w:t>Le recourant fait valoir que l'avis d'exécution du séquestre qu'il a produit a été transmis par fax le 1er février 2021 par l'Office des poursuites à C______, comme cela ressort de l'heure et de la date figurant au bas de la deuxième page de cet avis. Les informations mentionnées dans cet avis étaient dès lors actuelles. Il était par ailleurs vraisemblable que B______ ait ouvert son compte E______ auprès de la succursale genevoise de cette société car G______, conseiller clientèle mentionné sur l'extrait produit, travaillait pour E______ à Genève, selon l'extrait de son compte J______ [réseau social professionnel].</w:t>
      </w:r>
    </w:p>
    <w:p>
      <w:r>
        <w:t>3.1.1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w:t>
      </w:r>
    </w:p>
    <w:p>
      <w:r>
        <w:t>Le séquestre est aussi possible lorsque le créancier possède contre le débiteur un titre de mainlevée définitive (art. 271 al. 1 ch. 6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w:t>
      </w:r>
    </w:p>
    <w:p>
      <w:r>
        <w:t>- 5/7 -</w:t>
      </w:r>
    </w:p>
    <w:p>
      <w:r>
        <w:t>C/5993/2021 3.1.2 Pour rendre vraisemblable l'existence d'avoir bancaires du débiteur il faut que le créancier indique la banque concernée et fournisse un début de preuve de la relation entre la banque et le débiteur, soit en pratique produise une pièce ou un ensemble de pièces (arrêts du Tribunal fédéral 5A_877/2011 du 5 mars 2012 consid. 2.1; 5A_402/2008 du 15 décembre 2008 consid. 3.1). A défaut d'indices concrets, le séquestre est considéré comme investigatoire, ce qui est notamment le cas lorsque le requérant se limite à mentionner une banque, voire un numéro de compte, sans autre indice (STOFFEL, Kommentar zum Bundesgesetz über Schuldbetreibung und Konkurs, II, 2010, n° 38 ad art. 272 LP). Les créances non incorporées dans des papiers-valeurs sont en principe séquestrées au domicile de leur titulaire. Si celui-ci n'est pas domicilié en Suisse, la créance est séquestrée au domicile ou au siège du tiers débiteur en Suisse. Quand le débiteur (séquestré)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5P_55/2003 du 16 mai 2003, consid. 3.2; ATF 128 III 473 consid. 3.1 et les citations; ATF 107 III 147 et les arrêts cités), à défaut de quoi le séquestre porterait sur des droits patrimoniaux situés hors de la juridiction du magistrat saisi, ce qui est exclu (ATF 118 III 7 consid. 4).</w:t>
      </w:r>
    </w:p>
    <w:p>
      <w:r>
        <w:rPr>
          <w:b/>
        </w:rPr>
        <w:t>E. 3.2</w:t>
      </w:r>
    </w:p>
    <w:p>
      <w:r>
        <w:t>En l'espèce, le Tribunal a retenu à juste titre que le recourant n'a pas rendu vraisemblable que B______ détient à ce jour des biens sis à Genève. En effet, aucune conclusion ne peut être tirée de la date figurant sur la deuxième page de l'avis de séquestre produit par le recourant car l'on ignore si cette mention résulte effectivement d'un envoi émanant d'un fax de l'Office des poursuites à l'adresse de [la banque] C______ dans la mesure où aucun nom ou numéro de fax ne figure en regard de celle-ci. A supposer que cette indication de date résulte bien d'un envoi par fax, cet envoi a pu intervenir entre d'autres personnes que l'Office et la banque susmentionnés. Le fait que l'avis en question mentionne pour le débiteur un domicile qui n'est plus actuel permet au contraire de penser que cet avis est ancien. En tout état de cause, même à supposer que cet avis soit récent, ce qui n'est pas vraisemblable, il ne suffirait pas à attester de ce que B______ détient vraisemblablement des biens auprès de l'établissement concerné car l'on ignore si le séquestre en question a porté.</w:t>
      </w:r>
    </w:p>
    <w:p>
      <w:r>
        <w:t>- 6/7 -</w:t>
      </w:r>
    </w:p>
    <w:p>
      <w:r>
        <w:t>C/5993/2021 Le Tribunal a par ailleurs constaté à juste titre que l'extrait bancaire de E______ produit par le recourant ne faisait aucune mention de la succursale genevoise de cet établissement. Les allégations du recourant selon lesquelles le conseiller clientèle mentionné sur ledit extrait travaille pour la succursale de E______ [à] D______ ne sont rendues vraisemblables par aucun élément du dossier. Le recourant n'a en particulier pas produit l'extrait de J______ [réseau social professionnel] dont il se prévaut. Le fait que le numéro de téléphone du conseiller en question commence par un indicatif téléphonique qui n'est pas celui de Genève, à savoir 021, tend au contraire à confirmer que cette personne ne travaille pas pour la succursale genevoise de E______. A cela s'ajoute que l'extrait bancaire indique K______ [AG], soit une commune qui ne se trouve pas sur territoire genevois, comme adresse de la banque expéditrice. Il ressort de ce qui précède que le Tribunal a retenu à bon droit que le recourant n'avait pas rendu vraisemblable que B______ détenait des biens susceptibles d'être séquestrés à Genève. Le recours sera dès lors rejeté.</w:t>
      </w:r>
    </w:p>
    <w:p>
      <w:r>
        <w:rPr>
          <w:b/>
        </w:rPr>
        <w:t>E. 4</w:t>
      </w:r>
    </w:p>
    <w:p>
      <w:r>
        <w:t>Le recourant, qui succombe, supportera les frais de son recours (art. 106 al. 1 CPC), arrêtés à 1'500 fr. (art. 48 et 61 OELP) et compensés avec l'avance effectuée par ses soins, acquise à l'Etat de Genève (art. 111 al. 1 CPC).</w:t>
      </w:r>
    </w:p>
    <w:p>
      <w:r>
        <w:t>Il n'y a pas lieu d'allouer de dépens. * * * * *</w:t>
      </w:r>
    </w:p>
    <w:p>
      <w:r>
        <w:t>- 7/7 -</w:t>
      </w:r>
    </w:p>
    <w:p>
      <w:r>
        <w:t>C/5993/2021 PAR CES MOTIFS, La Chambre civile : A la forme : Déclare recevable le recours interjeté par A______ contre l'ordonnance SQ/246/2021 rendue le 1er avril 2021 par le Tribunal de première instance dans la cause C/5993/2021-16 SQP. Au fond : Rejette ce recours. Déboute le recourant de toutes autres conclusions. Sur les frais : Met à la charge de A______ les frais du recours, arrêtés à 1'50 fr., et compensés avec l'avance effectuée, acquise à l'Etat de Genève. Dit qu'il n'est pas alloué de dépens de recours. Siégeant : Monsieur Laurent RIEBEN, président; Madame Sylvie DROIN et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