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ACJC/569/2020 vom 6. April 2020</w:t>
      </w:r>
    </w:p>
    <w:p>
      <w:r>
        <w:t>GE Cour de justice, 2020-04-06, FR</w:t>
      </w:r>
    </w:p>
    <w:p>
      <w:r>
        <w:rPr>
          <w:b/>
        </w:rPr>
        <w:t xml:space="preserve">Quelle: </w:t>
      </w:r>
      <w:r>
        <w:t>https://mcp.opencaselaw.ch/entscheid/ge_gerichte_ACJC_569_2020</w:t>
      </w:r>
    </w:p>
    <w:p>
      <w:r>
        <w:t>FR: GE_GERICHTE ACJC/569/2020 du 6 avril 2020</w:t>
      </w:r>
    </w:p>
    <w:p>
      <w:r>
        <w:t>IT: GE_GERICHTE ACJC/569/2020 del 6 aprile 2020</w:t>
      </w:r>
    </w:p>
    <w:p>
      <w:pPr>
        <w:pStyle w:val="Heading2"/>
      </w:pPr>
      <w:r>
        <w:t>Volltext</w:t>
      </w:r>
    </w:p>
    <w:p>
      <w:r>
        <w:t>Le présent arrêt est communiqué aux parties par plis recommandés du 28.04.2020.</w:t>
      </w:r>
    </w:p>
    <w:p>
      <w:r>
        <w:t>REPUBLIQUE ET</w:t>
      </w:r>
    </w:p>
    <w:p>
      <w:r>
        <w:t>CANTON DE GENEVE POUVOIR JUDICIAIRE C/28223/2019 ACJC/569/2020 ARRÊT DE LA COUR DE JUSTICE Chambre civile DU MARDI 28 AVRIL 2020</w:t>
      </w:r>
    </w:p>
    <w:p>
      <w:r>
        <w:t>Entre Monsieur A______, domicilié ______, Genève, appelant d'un jugement rendu par la 9ème Chambre du Tribunal de première instance de ce canton le 6 avril 2020, comparant par Me Constance Esquivel, avocate, rue de Hesse 16, 1204 Genève, en l'étude de laquelle il fait élection de domicile, et Madame B______, domiciliée ______, ______ (GE), intimée, comparant par Me Ninon Pulver, avocate, route de Florissant 64, 1206 Genève, en l'étude de laquelle elle fait élection de domicile.</w:t>
      </w:r>
    </w:p>
    <w:p>
      <w:r>
        <w:t>- 2/4 -</w:t>
      </w:r>
    </w:p>
    <w:p>
      <w:r>
        <w:t>C/28223/2019 Attendu, EN FAIT, que par jugement du 6 avril 2020, le Tribunal de première instance, statuant par voie de procédure sommaire, sur mesures protectrices de l'union conjugale, a notamment attribué à B______ la garde sur l'enfant C______, né le ______ 2003 (ch. 2 du dispositif), condamné A______ à payer, pour la période du 1er décembre 2018 au 31 mars 2020, 4'800 fr. à titre de contributions à l'entretien de l'enfant C______ et 4'800 fr. à titre d'allocations familiales (ch. 5); que le Tribunal a également condamné A______ à payer 900 fr. à titre de contributions à l'entretien de l'enfant C______ et 300 fr. à titre d'allocations familiales, à compter du 1er avril 2020 (ch. 6) et 1'000 fr. à titre de contribution à l'entretien de B______ (ch. 7); Que le Tribunal a notamment retenu que le coût d'entretien de l'enfant C______ s'élevait à 1'217 fr. 10 par mois et que dans la mesure où les allocations familiales en 300 fr. étaient versées au père, elles n'étaient pas déduites des charges de l'enfant; que le père disposait d'un disponible de 3'668 fr. 40 (6'474 fr. – 2'805 fr. 60) et la mère de 767 fr. 50 (4'556 fr. 60 – 3'789 fr. 10); que les montants des contributions d'entretien que l'appelant a été condamné à payer correspondent aux charges de l'enfant, hors allocations familiales et à la moitié des soldes disponibles des parents; Que par acte expédié le 17 avril 2020 à la Cour de justice, A______ a formé appel contre ce jugement; qu'il a conclu, avec suite de frais, à l'annulation et à la modification des chiffres 5 et 7 du dispositif du jugement attaqué en ce sens qu'il est condamné à payer 900 fr. par mois à titre de contribution à l'entretien de l'enfant dès le 1er avril 2020, sans effet rétroactif, et à ce qu'il soit dit qu'il ne doit aucune contribution à l'entretien de B______; Qu'il a également conclu à l'octroi de l'effet suspensif à son appel; qu'il explique à cet égard qu'il dispose d'une capacité financière limitée et d'aucune économie de sorte que le contraindre à payer les montants fixés par le Tribunal le placerait dans une situation pécuniaire extrêmement précaire et l'exposerait à des poursuites, ce qui lui serait préjudiciable; qu'il soutient notamment que ses revenus s'élèvent à 6'473 fr. et ses charges à 5'060 fr.; Qu'invitée à se déterminer, B______ a conclu au rejet de cette requête au motif qu'elle n'était pas suffisamment motivée et, en tout état infondée puisque A______ disposait de moyens financiers suffisants;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w:t>
      </w:r>
    </w:p>
    <w:p>
      <w:r>
        <w:t>- 3/4 -</w:t>
      </w:r>
    </w:p>
    <w:p>
      <w:r>
        <w:t>C/28223/2019 ordinaire, qui en serait compromise (ATF 138 III 378 consid. 6.3; arrêt du Tribunal fédéral 4P.5/2002 du 8 avril 2002 consid. 3a); Que selon la jurisprudence du Tribunal fédéral, concernant le paiement d'une somme d'argent,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l'appelant ne conteste pas le montant des revenus que le Tribunal a retenu le concernant; que l'appel ne paraît par ailleurs, prima facie, pas d'emblée manifestement fondé en tant qu'il vise à prendre en compte, dans le budget de l'appelant, d'autres charges que celles retenues par le Tribunal, notamment des remboursements de crédits, des frais de téléphonie, des cotisations syndicales ou des impôts, l'appelant ne formulant d'ailleurs pas de véritable critique motivée du jugement attaqué à cet égard; Qu'au vu du solde disponible de l'appelant tel qu'arrêté par le Tribunal, les montants que celui-ci a été condamné à verser n'entament pas son minimum vital; Que si le montant que l'appelant doit verser à titre d'arriéré de contributions d'entretien et d'allocations familiales n'est pas négligeable dans la mesure où il représente plus d'un mois de salaire, l'appelant, qui affirme ne disposer d'aucune fortune, n'étaye cependant son affirmation d'aucune manière; Qu'enfin, l'appelant ne soutient pas qu'il ne pourrait pas récupérer les montants qu'il aurait indument versé s'il obtenait gain de cause devant la Cour; Qu'au vu de ce qui précède, la requête tendant à suspendre le caractère exécutoire des chiffres 5 et 7 du dispositif du jugement attaqué sera rejetée; Qu'il sera statué sur les frais et dépens liés à la présente décision avec l'arrêt au fond (art. 104 al. 3 CPC). * * * * *</w:t>
      </w:r>
    </w:p>
    <w:p>
      <w:r>
        <w:t>- 4/4 -</w:t>
      </w:r>
    </w:p>
    <w:p>
      <w:r>
        <w:t>C/28223/2019 PAR CES MOTIFS, La Chambre civile : Statuant sur requête de suspension du caractère exécutoire du jugement entrepris : Rejette la requête formée par A______ tendant à suspendre le caractère exécutoire des chiffres 5 et 7 du dispositif du jugement JTPI/4312/2020 rendu le 6 avril 2020 par le Tribunal de première instance dans la cause C/28223/2019-9. Déboute les parties de toute autre conclusion. Dit qu'il sera statué sur les frais liés à la présente décision dans l'arrêt rendu sur le fond. Siégeant : Monsieur Laurent RIEBEN, président ad interim; Madame Camille LESTEVEN, greffière.</w:t>
      </w:r>
    </w:p>
    <w:p>
      <w:r>
        <w:t>Le président ad interim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