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ACJC/563/2022 vom 1. April 2015</w:t>
      </w:r>
    </w:p>
    <w:p>
      <w:r>
        <w:t>GE Cour de justice, 2015-04-01, FR</w:t>
      </w:r>
    </w:p>
    <w:p>
      <w:r>
        <w:rPr>
          <w:b/>
        </w:rPr>
        <w:t xml:space="preserve">Quelle: </w:t>
      </w:r>
      <w:r>
        <w:t>https://mcp.opencaselaw.ch/entscheid/ge_gerichte_ACJC_563_2022</w:t>
      </w:r>
    </w:p>
    <w:p>
      <w:r>
        <w:t>FR: GE_GERICHTE ACJC/563/2022 du 1 avril 2015</w:t>
      </w:r>
    </w:p>
    <w:p>
      <w:r>
        <w:t>IT: GE_GERICHTE ACJC/563/2022 del 1 aprile 2015</w:t>
      </w:r>
    </w:p>
    <w:p>
      <w:pPr>
        <w:pStyle w:val="Heading2"/>
      </w:pPr>
      <w:r>
        <w:t>Erwägungen</w:t>
      </w:r>
    </w:p>
    <w:p>
      <w:r>
        <w:rPr>
          <w:b/>
        </w:rPr>
        <w:t>E. 1.1</w:t>
      </w:r>
    </w:p>
    <w:p>
      <w:r>
        <w:t>La présente procédure ayant pour objet la déclaration de force exécutoire de décisions rendues par les autorités françaises, elle relève de la compétence du tribunal de l'exécution (art. 335 al. 3 CPC) et est soumise à la CL, entrée en vigueur le 1er janvier 2011 pour la Suisse et le 1er janvier 2010 pour la France (Union européenne).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art. 43 al. 5 CL).</w:t>
      </w:r>
    </w:p>
    <w:p>
      <w:r>
        <w:rPr>
          <w:b/>
        </w:rPr>
        <w:t>E. 1.2</w:t>
      </w:r>
    </w:p>
    <w:p>
      <w:r>
        <w:t>Le recours, écrit et motivé (art. 130, 131, 321 al. 1 CPC), adressé à la Cour dans le délai précité, est donc recevable.</w:t>
      </w:r>
    </w:p>
    <w:p>
      <w:r>
        <w:rPr>
          <w:b/>
        </w:rPr>
        <w:t>E. 1.3</w:t>
      </w:r>
    </w:p>
    <w:p>
      <w:r>
        <w:t>Le recourant a produit des pièces nouvelles.</w:t>
      </w:r>
    </w:p>
    <w:p>
      <w:r>
        <w:rPr>
          <w:b/>
        </w:rPr>
        <w:t>E. 1.3.1</w:t>
      </w:r>
    </w:p>
    <w:p>
      <w:r>
        <w:t>Dès lors que la procédure de première instance est unilatérale et que la partie adverse ne peut faire valoir son point de vue que dans la procédure de recours, l'art. 326 al. 1 CPC ne peut trouver application dans la procédure d'exequatur. Dans la procédure de recours selon l'art. 43 CL, en relation avec l'art. 327a CPC, les nova doivent être admissibles, en particulier dans le cas du prononcé ultérieur d'un jugement sur appel dans l'état d'origine. L'admission de nova dans la procédure selon l'art. 327a CPC se fonde sur l'art. 317 al. 1 CPC appliqué par analogie (arrêt du Tribunal fédéral 5A_568/2012 du 24 janvier 2013 consid. 4).</w:t>
      </w:r>
    </w:p>
    <w:p>
      <w:r>
        <w:rPr>
          <w:b/>
        </w:rPr>
        <w:t>E. 1.3.2</w:t>
      </w:r>
    </w:p>
    <w:p>
      <w:r>
        <w:t>Il découle des considérations qui précèdent que les pièces produites par le recourant à l'appui de son recours sont recevables puisqu'il n'a pas été entendu en première instance et s'exprime pour la première fois devant la Cour.</w:t>
      </w:r>
    </w:p>
    <w:p>
      <w:r>
        <w:rPr>
          <w:b/>
        </w:rPr>
        <w:t>E. 2</w:t>
      </w:r>
    </w:p>
    <w:p>
      <w:r>
        <w:t>En premier lieu, le recourant reproche au Tribunal d'avoir prononcé l'exequatur des trois décisions françaises, alors que l'intimée n'avait pas pris de conclusions formelles en ce sens. Il soutient que le Tribunal aurait violé l'art. 58 al. 1 CPC et l'art. 53 CL. 2.1.1 L'art. 271 al. 1 ch. 6 LP prévoit que le créancier d'une dette échue et non garantie par gage peut requérir le séquestre des biens du débiteur qui se trouvent en Suisse lorsque le créancier possède contre le débiteur un titre de mainlevée définitive.</w:t>
      </w:r>
    </w:p>
    <w:p>
      <w:r>
        <w:t>- 5/10 -</w:t>
      </w:r>
    </w:p>
    <w:p>
      <w:r>
        <w:t>C/21914/2021 L'art. 271 al. 3 LP précise que dans les cas énoncés à l'art. 271 al. 1 ch. 6 LP, qui concernent un jugement rendu dans un Etat étranger auquel s'applique la CL, le juge statue aussi sur la constatation de la force exécutoire. La conclusion en reconnaissance et en constatation de la force exécutoire d'une décision étrangère Lugano constitue un préalable nécessaire au prononcé du séquestre (arrêt du Tribunal fédéral 5A_711/2018 du 9 janvier 2019 consid. 4.3) et une telle décision ne peut pas être considérée comme un titre exécutoire avant la décision d'exequatur (arrêt du Tribunal fédéral 5A_311/2018 précité consid. 8.2, SJ 2020 I 201). A teneur du Message relatif à l'arrêté fédéral portant approbation et mise en œuvre de la CL révisée, l'art. 271 al. 3 LP précise clairement que le tribunal qui prononce le séquestre en vertu de l’art. 271 al. 1 ch. 6 LP, sur la base d’un jugement exécutoire rendu d’après la CL révisée, doit lui aussi prononcer à chaque fois une décision d’exequatur indépendante (cf. art. 47 al. 2 CL) même si aucune requête spécifique n’a été faite sur ce point (FF 2009 p. 1497ss, p. 1538). Dans un arrêt récent (ATF 147 III 491), le Tribunal fédéral n'a pas tranché la question de savoir si le juge du séquestre doit statuer sur l'exequatur d'un jugement "Lugano" même en l'absence de conclusion dans ce sens. Il a constaté que ce point était controversé. Selon la jurisprudence de l'Obergericht de Zurich, le créancier séquestrant devait conclure au prononcé de l'exequatur du jugement "Lugano", faute de quoi le séquestre requis sur la base de l'art. 271 al. 1 ch. 6 LP ne pouvait être ordonné. Cette jurisprudence était suivie dans sa prémisse par une partie de la doctrine, au motif notamment que la maxime de disposition (art. 58 al. 1 CPC) prévalait en l'espèce. Une autre partie de la doctrine suivait le Message du Conseil fédéral (FF 2009 p. 1497 ss, 1538), relevant notamment que l'art. 271 al. 3 LP ne revêtait pas le caractère d'une norme potestative (Kann-Vorschrift), pour considérer que le juge devait statuer d'office sur l'exequatur (ATF 147 III 491 consid. 6.2.1 et les références citées). 2.1.2 La CL introduit un régime simplifié de la reconnaissance et de l’exécution des décisions rendues dans un autre Etat partie. Elle règle la procédure tendant à déclarer exécutoires les décisions rendues dans un autre Etat partie et à assurer que le créancier puisse obtenir des mesures conservatoires. L’attestation du caractère exécutoire d'une décision prend normalement la forme d’un certificat au sens de l’art. 54 CL (BUCHER, Commentaire romand LDIP/CL, 1ère édition, 2011, n. 1 intro aux art. 32-56 CL et n. 4 et 6 ad art. 38 CL). 2.1.3 Lorsque la maxime de disposition est applicable, le tribunal ne peut accorder à une partie ni plus ni autre chose que ce qui est demandé, ni moins que ce qui est reconnu par la partie adverse (art. 58 al. 1 CPC).</w:t>
      </w:r>
    </w:p>
    <w:p>
      <w:r>
        <w:t>- 6/10 -</w:t>
      </w:r>
    </w:p>
    <w:p>
      <w:r>
        <w:t>C/21914/2021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(ATF 143 III 520 consid. 8.1; arrêt 5A_689/2019 du 5 mars 2020 consid. 4.1). Les conclusions doivent en effet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(arrêts 5A_368/2018 du 25 avril 2019 consid. 4.3.3 et les références citées). 2.2.1 En l'espèce, contrairement à ce que soutient le recourant, le Tribunal était fondé à prononcer l'exequatur bien que l'intimée n'ait pas formellement pris de conclusions en ce sens. Cette manière de procéder est conforme au Message du Conseil fédéral et n'est pas contraire à la jurisprudence du Tribunal fédéral dès lors que ce dernier n'a pas tranché le point de savoir si le juge du séquestre doit statuer sur l'exequatur d'un jugement "Lugano" même en l'absence de conclusions en ce sens. Enfin, la doctrine est divisée sur cette question et le Tribunal fédéral n'a pas souligné, dans son arrêt récent susmentionné, que les instances cantonales suivraient une pratique commune. 2.2.2 De surcroit, dans sa requête du 12 novembre 2021, l'intimée a produit les décisions françaises en version originale ou certifiée conforme, ainsi que le certificat prévu par l'art. 54 CL, en indiquant qu'il attestait du caractère définitif et exécutoire en France du jugement du 4 octobre 2012. Or, l'unique but du certificat précité est précisément d'attester du caractère exécutoire d'une décision rendue dans un Etat partie à la CL. Même en admettant que des conclusions auraient dû être formulées, on comprendrait, à la lecture de l'acte de l'intimée et des pièces produites, que l'exéquatur était implicitement requise par cette dernière. Compte tenu de ce qui précède, c'est à bon droit que le premier juge a prononcé l'exequatur, malgré l'absence de conclusions formelles en ce sens. Le grief est ainsi infondé.</w:t>
      </w:r>
    </w:p>
    <w:p>
      <w:r>
        <w:rPr>
          <w:b/>
        </w:rPr>
        <w:t>E. 3</w:t>
      </w:r>
    </w:p>
    <w:p>
      <w:r>
        <w:t>En second lieu, le recourant reproche au premier juge de ne pas avoir retenu que la requête de l'intimée était irrecevable au motif que le certificat produit était incomplet et erroné. Il soutient que le code postal du Tribunal de Grande Instance de C______ porté dans le certificat serait erroné, que ledit certificat ne mentionnerait pas à l'encontre de qui le jugement serait exécutoire et enfin que le texte de la décision n'aurait pas été annexé au certificat.</w:t>
      </w:r>
    </w:p>
    <w:p>
      <w:r>
        <w:t>- 7/10 -</w:t>
      </w:r>
    </w:p>
    <w:p>
      <w:r>
        <w:t>C/21914/2021 3.1.1 Depuis la révision de la CL, la procédure préalable d'exequatur consacrée à l'art. 41 CL est unilatérale en première instance et l'examen de l'autorité saisie est limité à "l'achèvement des formalités prévues à l'art. 53", à savoir la production de la décision et du certificat décrit à l'art. 54 CL. Le contrôle des motifs de refus de la reconnaissance des art. 34 et 35 CL est entièrement reporté au stade du recours (art. 41 et 45 CL). A l'original de la décision peut se substituer une copie certifiée conforme par l'autorité compétente de l'Etat d'origine (BUCHER, op. cit., n. 1 ad art. 53 CL). La juridiction ou l'autorité compétente d'un Etat lié par la CL dans lequel une décision a été rendue délivre, à la requête de toute partie intéressée, un certificat en utilisant le formulaire dont le modèle figure à l'annexe V de la Convention (art. 54 CL). Le certificat visé à l'art. 54 CL simplifie la procédure et les démarches à entreprendre par le créancier. Celui-ci ne doit plus apporter des documents servant à prouver des éléments dont la connaissance est indispensable à l'autorité de l'Etat requis. Il lui suffit de présenter le certificat qui constate ces faits essentiels, de manière à lier cette autorité. La juridiction sollicitée pour constater la force exécutoire y trouve facilement les informations dont elle a besoin (BUCHER, op. cit. n. 1 ad art. 54 CL). Le certificat mentionne notamment l’Etat d’origine de la décision (1), la juridiction ou l’autorité délivrant le certificat (2), la juridiction ayant prononcé la décision (3) et les éléments essentiels pour identifier la décision (4), à savoir la date (4.1), le numéro de référence (4.2) et le nom des parties (4.3). En outre, le "texte de la décision" est annexé au certificat (4.5). Enfin, une dernière rubrique comporte la mention du caractère exécutoire de la décision, en précisant la partie contre laquelle l’exécution peut être dirigée (BUCHER, op. cit., n. 3 ad art. 54 CL). A défaut de production du certificat visé à l’art. 54, la juridiction ou l’autorité compétente peut impartir un délai pour le produire ou accepter un document équivalent ou, si elle s’estime suffisamment éclairée, en dispenser (art. 55 al. 1 CL). L'art. 55 al. 1 CL n'exclut ainsi pas que l'autorité requise accepte un certificat incomplet ne comportant pas de réponse relative à la force exécutoire de la décision (BUCHER, op. cit., n. 2 ad art. 55 CL et les références citées). Le certificat a pour objectif de simplifier la procédure, de sorte qu'un créancier ne devrait pas être tenu de produire un certificat si la décision peut être déclarée exécutoire rapidement en l'absence de celui-ci (POCAR, JOUE 2009 C 319, n. 147). 3.1.2 Le formalisme excessif est un déni de justice contraire à l'art. 29 al. 1 Cst.; il survient lorsque des règles de procédure sont appliquées avec une rigueur que ne justifie aucun intérêt digne de protection, au point que la procédure devient une fin en soi et empêche ou complique de manière insoutenable l'application du droit.</w:t>
      </w:r>
    </w:p>
    <w:p>
      <w:r>
        <w:t>- 8/10 -</w:t>
      </w:r>
    </w:p>
    <w:p>
      <w:r>
        <w:t>C/21914/2021 L'excès de formalisme peut se manifester dans la règle de comportement qui est imposée au plaideur ou dans la sanction qui est attachée à cette règle (ATF 142 I 10 consid. 2.4.2; 142 V 152 consid. 4.2; 135 I 6 consid. 2.1; 132 I 249 consid. 5).</w:t>
      </w:r>
    </w:p>
    <w:p>
      <w:r>
        <w:rPr>
          <w:b/>
        </w:rPr>
        <w:t>E. 3.2</w:t>
      </w:r>
    </w:p>
    <w:p>
      <w:r>
        <w:t>En l'espèce, contrairement à ce que soutient le recourant, le certificat ne saurait être qualifié de non conforme aux exigences de la CL en raison de la mention du code postal 8______ [à] C______, soit le code postal principal de la ville de C______, en lieu et place du code 9______ [à] C______, soit un autre code postal pour cette ville, sous peine de formalise excessif, d'autant plus que le timbre humide apposé au bas du certificat mentionne ledit code postal 9______ et que les pièces produites par le recourant démontrent que ledit Tribunal a plusieurs sites et adresses. Le certificat, établi le 8 juillet 2021, atteste que le jugement du 4 octobre 2012 est exécutoire, ce qui sous-entend que les parties n'ont pas saisi la Cour d'appel de F______ à la suite de l'arrêt de la Cour de cassation du 18 janvier 2017. Par ailleurs, bien que ledit certificat ne précise pas de parties(s) visée(s) par une exécution du jugement, il ressort des trois décisions produites que le recourant était la partie succombante, de sorte qu'il est susceptible d'être attrait dans une procédure d'exécution. De plus, contrairement à ce que fait valoir le recourant, le jugement du 4 octobre 2012 a été annexé au certificat puisque sa copie certifiée conforme a été produite avec celui-ci devant le Tribunal. En outre, les indications contenues dans le certificat, soit la date du jugement, le numéro de référence ainsi que les noms des parties, correspondent à celles figurant dans le jugement annexé. Enfin, dans la partie en fait de son recours, le recourant fait valoir que le certificat concernerait uniquement le jugement du 4 octobre 2012 mais non l'arrêt de la Cour d'appel de C______ du 1er avril 2015 et l'arrêt de la Cour de cassation du 18 janvier 2017. Il n'en tire cependant aucun grief formel dans sa partie en droit, à savoir que l'ordonnance devrait être (partiellement) annulée dès lors qu'elle a déclaré exécutoires les deux arrêts précités même en l'absence de certificats relatifs à ces décisions. En tout état, cela n'emporte pas de conséquence dès lors qu'une annulation partielle de l'ordonnance n'aurait pas modifié l'issue du litige, seul le caractère exécutoire du jugement étant pertinent. Partant, le Tribunal était fondé à prononcer l'exequatur du jugement. Compte tenu de ce qui précède, le recours sera rejeté.</w:t>
      </w:r>
    </w:p>
    <w:p>
      <w:r>
        <w:rPr>
          <w:b/>
        </w:rPr>
        <w:t>E. 4</w:t>
      </w:r>
    </w:p>
    <w:p>
      <w:r>
        <w:t>Le recourant, qui succombe, sera condamné aux frais judiciaires du recours (art. 106 al. 1 CPC), arrêtés à 500 fr. (art. 26 RTFMC). Ces frais seront entièrement compensés avec l'avance de frais fournie par ce dernier, laquelle reste acquise à l'Etat de Genève (art. 111 al. 1 CPC).</w:t>
      </w:r>
    </w:p>
    <w:p>
      <w:r>
        <w:t>- 9/10 -</w:t>
      </w:r>
    </w:p>
    <w:p>
      <w:r>
        <w:t>C/21914/2021 Il sera également condamné aux dépens de recours de l'intimée, arrêtés à 1'700 fr., débours inclus (art. 85, 89, 90 RTFMC; art. 25 et 26 LaCC). * * * * *</w:t>
      </w:r>
    </w:p>
    <w:p>
      <w:r>
        <w:t>- 10/10 -</w:t>
      </w:r>
    </w:p>
    <w:p>
      <w:r>
        <w:t>C/21914/2021 PAR CES MOTIFS, La Chambre civile : A la forme : Déclare recevable le recours interjeté le 23 décembre 2021 par A______ contre l'ordonnance OTPI/873/2021 rendue le 18 novembre 2021 par le Tribunal de première instance dans la cause C/21914/2021-4 SQP. Au fond : Rejette ce recours. Déboute les parties de toutes autres conclusions. Sur les frais : Arrête les frais judiciaires du recours à 500 fr., les met à la charge de A______, et dit qu'ils sont entièrement compensés avec l'avance de frais de 500 fr. fournie par ce dernier, qui reste acquise à l'Etat de Genève. Condamne A______ à verser à B______ la somme de 1'700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