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ACJC/561/2020 vom 4. Mai 2020</w:t>
      </w:r>
    </w:p>
    <w:p>
      <w:r>
        <w:t>GE Cour de justice, 2020-05-04, FR</w:t>
      </w:r>
    </w:p>
    <w:p>
      <w:r>
        <w:rPr>
          <w:b/>
        </w:rPr>
        <w:t xml:space="preserve">Quelle: </w:t>
      </w:r>
      <w:r>
        <w:t>https://mcp.opencaselaw.ch/entscheid/ge_gerichte_ACJC_561_2020</w:t>
      </w:r>
    </w:p>
    <w:p>
      <w:r>
        <w:t>FR: GE_GERICHTE ACJC/561/2020 du 4 mai 2020</w:t>
      </w:r>
    </w:p>
    <w:p>
      <w:r>
        <w:t>IT: GE_GERICHTE ACJC/561/2020 del 4 maggio 2020</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La décision ordonnant la suspension de la cause est une mesure d'instruction qui peut, conformément à l'art. 126 al. 2 CPC, faire l'objet du recours de l'art. 319 let. b ch. 1 CPC.</w:t>
      </w:r>
    </w:p>
    <w:p>
      <w:r>
        <w:rPr>
          <w:b/>
        </w:rPr>
        <w:t>E. 1.2</w:t>
      </w:r>
    </w:p>
    <w:p>
      <w:r>
        <w:t>En l'espèce, dirigé contre une ordonnance ordonnant la suspension de la procédure, le recours, écrit et motivé, et déposé auprès de l'instance de recours dans un délai de dix jours à compter de la notification de la décision (art. 321 al. 1et 2 CPC), est recevable.</w:t>
      </w:r>
    </w:p>
    <w:p>
      <w:r>
        <w:rPr>
          <w:b/>
        </w:rPr>
        <w:t>E. 1.3</w:t>
      </w:r>
    </w:p>
    <w:p>
      <w:r>
        <w:t>Dans la procédure de recours, la cognition de la Cour est limitée à la violation du droit et à la constatation manifestement inexacte des faits (art. 320 CPC).</w:t>
      </w:r>
    </w:p>
    <w:p>
      <w:r>
        <w:rPr>
          <w:b/>
        </w:rPr>
        <w:t>E. 2</w:t>
      </w:r>
    </w:p>
    <w:p>
      <w:r>
        <w:t>La recourante reproche au Tribunal d'avoir ordonné la suspension de la procédure.</w:t>
      </w:r>
    </w:p>
    <w:p>
      <w:r>
        <w:rPr>
          <w:b/>
        </w:rPr>
        <w:t>E. 2.1</w:t>
      </w:r>
    </w:p>
    <w:p>
      <w:r>
        <w:t>L'art. 126 al. 1 CPC permet au juge d'ordonner la suspension de la procédure si des motifs d'opportunité le commandent, ce qui pourra notamment être le cas lorsque la décision dépend du sort d'un autre procès.</w:t>
      </w:r>
    </w:p>
    <w:p>
      <w:r>
        <w:t>La suspension doit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w:t>
      </w:r>
    </w:p>
    <w:p>
      <w:r>
        <w:t>- 6/9 -</w:t>
      </w:r>
    </w:p>
    <w:p>
      <w:r>
        <w:t>C/11626/2017 de doute (ATF 135 III 127 consid. 3.4, JdT 2011 II 402; 119 II 386 consid. 1b; arrêt du Tribunal fédéral 5A_218/2013 du 17 avril 2013 consid. 3).</w:t>
      </w:r>
    </w:p>
    <w:p>
      <w:r>
        <w:t>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3ème éd., 2017,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2.2</w:t>
      </w:r>
    </w:p>
    <w:p>
      <w:r>
        <w:t>En l'espèce, la recourante considère que l'issue des procédures en contestation de la revendication est une question préjudicielle, devant être tranchée avant qu'il ne soit statué sur la procédure au fond en validation des séquestres. En effet, la compétence territoriale du Tribunal sera déterminée par l'issue du procès en revendication : s'il s'avère que n'existe en Suisse aucun bien séquestrable lui appartenant, alors le Tribunal ne serait pas compétent au sens de l'art. 4 LDIP. L'intimée ne pouvait pas de bonne foi contester les revendications, puis se plaindre de ce que la procédure de contestation mettait en péril le for de l'action au fond.</w:t>
      </w:r>
    </w:p>
    <w:p>
      <w:r>
        <w:t>L'intimée expose qu'elle a sciemment entamé une action en contestation de la revendication, au vu de l'identité économique qui existait entre C______ et la recourante, puisque le mélange des patrimoines des deux personnes impliquait qu'un for du séquestre demeurerait quelle que soit l'issue des procédures en contestation de la revendication. Le Tribunal fédéral avait fixé la compétence ratione loci du Tribunal de manière définitive pour l'action en validation du séquestre. Celle-ci avait la priorité sur les actions en contestation de la revendication.</w:t>
      </w:r>
    </w:p>
    <w:p>
      <w:r>
        <w:t>Il n'est pas contesté par les parties que la présente procédure porte, au moins en partie, sur des questions qui se recoupent avec l'action en validation du séquestre, de sorte que l'économie de procédure commande de ne pas administrer à deux reprises des moyens de preuve potentiellement identiques.</w:t>
      </w:r>
    </w:p>
    <w:p>
      <w:r>
        <w:t>Sous cet angle déjà, la décision de suspension est fondée.</w:t>
      </w:r>
    </w:p>
    <w:p>
      <w:r>
        <w:t>Ensuite, ainsi que l'a retenu le Tribunal fédéral, il est vraisemblable que C______, ayant droit économique de la recourante, a orchestré la revendication de complaisance de celle-ci, dont il est allégué qu'elle est débitrice solidaire à ses côtés, afin de retarder le L'attitude procédurale contradictoire des recourantes corrobore ce qui précède et conduit également à refuser la suspension de la</w:t>
      </w:r>
    </w:p>
    <w:p>
      <w:r>
        <w:t>- 7/9 -</w:t>
      </w:r>
    </w:p>
    <w:p>
      <w:r>
        <w:t>C/11626/2017 présente procédure. En effet, celles-ci affirment à la fois détenir des biens séquestrés se trouvant à Genève tout en niant la compétence du Tribunal fondée sur cette appartenance dans le cadre de l'action en validation des séquestres dirigée contre elles. L'attitude procédurale contradictoire de la recourante corrobore ce qui précède et conduit également à refuser la suspension de la présente procédure. En effet, celle-ci affirme à la fois détenir des biens séquestrés se trouvant à Genève tout en niant la compétence du Tribunal fondée sur cette appartenance dans le cadre de l'action en validation des séquestres dirigée contre elle. Enfin, il n'est pas démontré que l'action en validation des séquestres, introduite avant celles en contestation des revendications, serait moins avancée.</w:t>
      </w:r>
    </w:p>
    <w:p>
      <w:r>
        <w:t>Les griefs des recourantes sont infondés. La décision entreprise sera confirmée.</w:t>
      </w:r>
    </w:p>
    <w:p>
      <w:r>
        <w:rPr>
          <w:b/>
        </w:rPr>
        <w:t>E. 3</w:t>
      </w:r>
    </w:p>
    <w:p>
      <w:r>
        <w:t>Les frais judiciaires du recours, y compris les frais afférents à la requête de sûretés en garantie des dépens, seront intégralement mis à la charge de la recourante, qui succombe (art. 106 al. 1 CPC). Ils seront arrêtés au montant unique de 3'000 fr. (art. 41 RTFMC) et partiellement compensés avec les avances fournies, qui restent acquises à l'Etat de Genève (art. 111 CPC). La recourante sera condamnée à verser le solde de 1'700 fr. à l'Etat de Genève et à rembourser à l'intimée l'avance de 300 fr. versée par celle-ci (art. 111 al. 2 CPC).</w:t>
      </w:r>
    </w:p>
    <w:p>
      <w:r>
        <w:t>La recourante sera en outre condamnée à verser à l'intimée un montant de 4'000 fr., débours et TVA inclus, à titre de dépens pour toute la procédure de recours (art. 25 et 26 LaCC; 85, 87 et 90 RTFMC). Ce montant sera prélevé sur les sûretés en 4'000 fr. versées par la recourante. * * * * *</w:t>
      </w:r>
    </w:p>
    <w:p>
      <w:r>
        <w:t>- 8/9 -</w:t>
      </w:r>
    </w:p>
    <w:p>
      <w:r>
        <w:t>C/11626/2017 PAR CES MOTIFS, La Chambre civile : A la forme : Déclare recevable le recours interjeté le 9 mai 2019 par A______ contre l'ordonnance ORTPI/429/2019 rendue le 26 avril 2019 par le Tribunal de première instance dans la cause C/11626/2017-10. Au fond : Le rejette. Déboute les parties de toutes autres conclusions. Sur les frais : Arrête les frais judiciaire du recours à 3'000 fr., les met à la charge de A______ et les compense partiellement avec les avances versées qui demeurent acquises à l'Etat de Genève. Condamne A______ à verser 1'700 fr. à l'Etat de Genève, soit pour lui les Services financiers du Pouvoir judiciaire, au titre du solde des frais et 300 fr. à B______ SA à titre de remboursement de son avance de frais. Condamne A______ à payer 4'000 fr. à B______ SA à titre de dépens du recours. Dit que cette somme sera prélevée sur les sûretés versées par A______. Siégeant : Monsieur Cédric-Laurent MICHEL, président; Mesdames Nathalie LANDRY- BARTHE et Pauline ERARD, juges; Madame Christel HENZELIN, greffière. Le président : Cédric-Laurent MICHEL</w:t>
      </w:r>
    </w:p>
    <w:p>
      <w:r>
        <w:t>La greffière : Christel HENZELIN</w:t>
      </w:r>
    </w:p>
    <w:p>
      <w:r>
        <w:t>- 9/9 -</w:t>
      </w:r>
    </w:p>
    <w:p>
      <w:r>
        <w:t>C/11626/2017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