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ACJC/560/2026 vom 26. März 2026</w:t>
      </w:r>
    </w:p>
    <w:p>
      <w:r>
        <w:t>GE Cour de justice, 2026-03-26, FR</w:t>
      </w:r>
    </w:p>
    <w:p>
      <w:r>
        <w:rPr>
          <w:b/>
        </w:rPr>
        <w:t xml:space="preserve">Quelle: </w:t>
      </w:r>
      <w:r>
        <w:t>https://mcp.opencaselaw.ch/entscheid/ge_gerichte_ACJC_560_2026</w:t>
      </w:r>
    </w:p>
    <w:p>
      <w:r>
        <w:t>FR: GE_GERICHTE ACJC/560/2026 du 26 mars 2026</w:t>
      </w:r>
    </w:p>
    <w:p>
      <w:r>
        <w:t>IT: GE_GERICHTE ACJC/560/2026 del 26 marzo 2026</w:t>
      </w:r>
    </w:p>
    <w:p>
      <w:pPr>
        <w:pStyle w:val="Heading2"/>
      </w:pPr>
      <w:r>
        <w:t>Erwägungen</w:t>
      </w:r>
    </w:p>
    <w:p>
      <w:r>
        <w:rPr>
          <w:b/>
        </w:rPr>
        <w:t>E. 1.1</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t>Interjeté en temps utile (cf. également art. 142 al. 3 CPC) et selon la forme prescrite, le recours est recevable.</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 ce dernier grief se recoupant avec celui d’arbitraire (art. 9 Cst.) dans l’appréciation des preuves ou dans l’établissement des faits (JEANDIN, Commentaire romand, Code de procédure civile, 2ème éd. 2019, n. 5 ad art. 320 CPC).</w:t>
      </w:r>
    </w:p>
    <w:p>
      <w:r>
        <w:rPr>
          <w:b/>
        </w:rPr>
        <w:t>E. 2.1</w:t>
      </w:r>
    </w:p>
    <w:p>
      <w:r>
        <w:t>Les conclusions, allégations de faits et les preuves nouvelles sont irrecevables dans le cadre d'un recours (art. 326 al. 1 CPC).</w:t>
      </w:r>
    </w:p>
    <w:p>
      <w:r>
        <w:t>Dans une procédure civile, les avis de droit présentés par les parties font partie intégrante de leurs mémoires ou de leurs conclusions juridiques (arrêts du Tribunal fédéral 4A_144/2008 du 20 août 2008 consid. 1; 5P.184/2001 du</w:t>
      </w:r>
    </w:p>
    <w:p>
      <w:r>
        <w:t>- 8/14 -</w:t>
      </w:r>
    </w:p>
    <w:p>
      <w:r>
        <w:t>C/24282/2022 10 septembre 2001 consid. 2c, publié in Pra 2002 (1) p. 1). Sur le plan procédural, l'expert juridique doit être considéré comme l'auxiliaire de la partie qui l'a mandaté, à laquelle il apporte son soutien. Partant, les avis de droit sont assimilés à des développements juridiques et ont le poids des autres arguments invoqués par la partie recourante ou son conseil (arrêt du Tribunal fédéral C.142/1986 du 27 janvier 1987 consid. 2, non publié aux ATF 113 II 77, mais in RSPI 1987 I p. 67). Divers tempéraments et nuances doivent certes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ATF 138 II 217 consid. 2.3; arrêts du Tribunal fédéral 5A_196/2025 du 1er septembre 2025 consid. 3.5.2.3; 4A_453/2024 du 13 mars 2024 consid. 4.4.2).</w:t>
      </w:r>
    </w:p>
    <w:p>
      <w:r>
        <w:rPr>
          <w:b/>
        </w:rPr>
        <w:t>E. 2.2</w:t>
      </w:r>
    </w:p>
    <w:p>
      <w:r>
        <w:t>En l’espèce, les allégations nouvelles du recourant relatives à sa faillite et le jugement russe du ______ mai 2025 sont irrecevables. La demande de suspension formée par le recourant, fondée sur des allégations et pièces nouvelles, est également irrecevable. Il est donc superflu d’examiner la recevabilité de la pièce nouvelle 4 du recourant et des avis de droit produits par les parties pour la première fois devant la Cour (pièce 53 et 54 intimée; pièces 5 et 6 recourant), lesquels constituent des argumentaires juridiques relatifs aux effets que devrait entraîner la faillite du recourant selon le droit russe.</w:t>
      </w:r>
    </w:p>
    <w:p>
      <w:r>
        <w:rPr>
          <w:b/>
        </w:rPr>
        <w:t>E. 3</w:t>
      </w:r>
    </w:p>
    <w:p>
      <w:r>
        <w:t>Le Tribunal a pris acte que, selon la Cour, l’exigence de l’expédition complète et authentique (art. 29 LDIP) était réalisée et qu’il lui incombait donc d’examiner si les autres conditions de la mainlevée étaient réalisées. Il a considéré que la position de la Suisse envers la Russie en ce qui concernait l’entraide en matière fiscale et pénale, de même que les sanctions prononcées à l’encontre de certains de ses ressortissants, entreprises et entités ne s’étendaient pas à la reconnaissance de jugements civils; cas échéant, l’art. 15 de l’Ordonnance instituant des mesures en lien avec la situation en Ukraine du 4 mars 2022 restait applicable. En conséquence, les jugements litigieux ne violaient pas l’ordre public matériel suisse. Par ailleurs, le Tribunal a retenu que, si A______ n’avait pas été valablement convoqué à l’audience sur appel du 8 novembre 2021 devant le Tribunal de la ville de D______ [Russie], il n’apportait pas la preuve qu’il n’avait pas été régulièrement cité à l’audience introductive d’instance devant le Tribunal de l’arrondissement C______. Partant, il n’y avait pas lieu de retenir une violation de l’ordre public procédural suisse.</w:t>
      </w:r>
    </w:p>
    <w:p>
      <w:r>
        <w:t>- 9/14 -</w:t>
      </w:r>
    </w:p>
    <w:p>
      <w:r>
        <w:t>C/24282/2022 Le recourant reproche au Tribunal une constatation manifestement inexacte des faits et une violation du droit. Il lui fait grief de ne pas avoir examiné tous ses arguments en relation avec la contrariété des décisions russes à l’ordre public suisse. Ceux-ci étaient détaillés particulièrement dans son écriture du 10 mai 2024 adressée à la Cour (en réponse au recours de sa partie adverse du 29 avril 2024), à laquelle il se réfère dans le présent recours. En particulier, le recourant reproche au premier juge, d’une part, de ne pas avoir analysé, sous l’angle de l’art. 27 al. 2 let. b LDIP, son droit d’être cité régulièrement et, d’autre part, d’avoir passé sous silence les « nombreuses autres violations des garanties procédurales » dont il aurait été victime par-devant les deux instances russes. L’intimée fait valoir que le recourant, qui avait renoncé à se déterminer sur la requête de mainlevée définitive du 22 novembre 2022 et à formuler des allégués, alors qu’il avait été invité à le faire par le Tribunal, ne serait plus autorisé à alléguer à ce stade des faits par des références à son mémoire du 10 mai 2024.</w:t>
      </w:r>
    </w:p>
    <w:p>
      <w:r>
        <w:rPr>
          <w:b/>
        </w:rPr>
        <w:t>E. 3.1</w:t>
      </w:r>
    </w:p>
    <w:p>
      <w:r>
        <w:t>Le créancier qui est au bénéfice d’un jugement exécutoire peut requérir du juge la mainlevée définitive de l’opposition (art. 80 al. 1 LP). Si le jugement a été rendu dans un autre État, l’opposant peut en outre faire valoir les moyens prévus par une convention liant cet État ou, à défaut d’une telle convention, prévus par la loi fédérale du 18 décembre 1987 sur le droit international privé (LDIP), à moins qu’un juge suisse n’ait déjà rendu une décision concernant ces moyens (art. 81 al. 3 LP). En l’absence de convention liant la Suisse et le pays dans lequel le jugement étranger a été rendu, comme en l’espèce, celui-ci ne peut être reconnu et la mainlevée définitive accordée qu’en application des art. 25 ss. LDIP (ABBET, La mainlevée de l’opposition, 2ème éd. 2022, n. 86 ad art. 81 LP). À défaut d’une décision d’exequatur, le juge de la mainlevée statue sur celui-ci à titre incident. À noter que le juge du séquestre, qui, saisi d’une requête fondée sur l’art. 271 al. 1 ch. 6 LP, statue sur le caractère exécutoire d’un jugement « non Lugano » ne peut le faire qu’à titre incident, en sorte que le juge de la mainlevée saisi ultérieurement n’est pas lié par cette décision (ABBET, op. cit., n. 89 ad art. 81 LP), étant rappelé que le juge du séquestre statue à la suite d’un examen sommaire du droit et sur la base des faits rendus simplement vraisemblables (ATF 139 III 135 consid. 4.5.2).</w:t>
      </w:r>
    </w:p>
    <w:p>
      <w:r>
        <w:rPr>
          <w:b/>
        </w:rPr>
        <w:t>E. 3.2</w:t>
      </w:r>
    </w:p>
    <w:p>
      <w:r>
        <w:t>Selon l'art. 27 LDIP,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w:t>
      </w:r>
    </w:p>
    <w:p>
      <w:r>
        <w:t>- 10/14 -</w:t>
      </w:r>
    </w:p>
    <w:p>
      <w:r>
        <w:t>C/24282/2022 la chose jugée. Sous l'empire de la LDIP, le juge de la reconnaissance n'examine pas d'office la violation de l'ordre public procédural; il ne le fait que si une partie invoque ce moyen (ATF 130 III 723 consid. 3.1; 116 II 625 consid. 4b; arrêt du Tribunal fédéral 5A_11/2026 du 17 février 2026 consid. 3.1). En revanche, le motif de l’incompatibilité manifeste avec l’ordre public matériel suisse doit être examiné d’office par le juge de l’exécution (ABBET, op. cit., n. 95 ad art. 81 LP). En vertu de l'art. 27 al. 2 LDIP, la reconnaissance d'une décision doit être refusée notamment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w:t>
      </w:r>
    </w:p>
    <w:p>
      <w:r>
        <w:rPr>
          <w:b/>
        </w:rPr>
        <w:t>E. 3.3</w:t>
      </w:r>
    </w:p>
    <w:p>
      <w:r>
        <w:t>Le droit d'être entendu est garanti aux art. 29 al. 2 Cst. et 53 CPC. La jurisprudence a déduit de l'art. 29 al. 2 Cst. le devoir pour l'autorité de motiver sa décision, afin que le destinataire puisse la comprendre, la contester utilement s'il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w:t>
      </w:r>
    </w:p>
    <w:p>
      <w:r>
        <w:rPr>
          <w:b/>
        </w:rPr>
        <w:t>E. 3.4</w:t>
      </w:r>
    </w:p>
    <w:p>
      <w:r>
        <w:t>Il est généralement admis que l'autorité inférieure à laquelle la cause est renvoyée se trouve liée par les considérants de droit émis par l'autorité supérieure.</w:t>
      </w:r>
    </w:p>
    <w:p>
      <w:r>
        <w:t>- 11/14 -</w:t>
      </w:r>
    </w:p>
    <w:p>
      <w:r>
        <w:t>C/24282/2022 Ce principe, qui découle logiquement de la hiérarchie des juridictions, s'applique en cas de renvoi prononcé sur appel ou sur recours. En revanche, l’autorité inférieure peut procéder à une nouvelle appréciation des faits pour autant qu’elle puisse tenir compte de faits établis postérieurement (ATF 140 III 466 consid. 4.2.1 et 4.2.2).</w:t>
      </w:r>
    </w:p>
    <w:p>
      <w:r>
        <w:rPr>
          <w:b/>
        </w:rPr>
        <w:t>E. 3.5</w:t>
      </w:r>
    </w:p>
    <w:p>
      <w:r>
        <w:t>En l’espèce, le Tribunal n’était pas lié par la décision de la Cour, prise à titre incident le 13 décembre 2024 dans la procédure d’opposition à séquestre C/4______/2022, de reconnaître les jugements russes litigieux. Il était tenu de trancher cette question préjudicielle sur la base des faits valablement allégués et des pièces valablement déposées par les parties dans le cadre de la présente procédure.</w:t>
      </w:r>
    </w:p>
    <w:p>
      <w:r>
        <w:t>Le Tribunal a statué une première fois le 3 avril 2024 uniquement sur la base des allégations et pièces de l’intimée, puisque le recourant n’avait pas donné suite à l’ordonnance du 24 novembre 2023. Vu la solution adoptée, le premier juge n’a cependant pas examiné s’il existait des motifs de refus de la reconnaissance des décisions étrangères au sens de l’art. 27 LDIP. Après l’arrêt de renvoi de la Cour de céans du 13 décembre 2024, les parties ont déposé en décembre 2024 et janvier 2025 des écritures spontanées et des pièces nouvelles, puis, en juillet et août 2025, le premier juge a fixé aux parties des délais pour se déterminer à nouveau. Si les écritures des parties postérieures au 13 décembre 2024 sont mentionnées dans le jugement attaqué, il n’est pas possible de déterminer quels faits le Tribunal a retenu comme valablement allégués et quels allégués il a considéré comme établis. Par ailleurs, les pièces nouvelles des parties ne sont pas évoquées par le Tribunal, qui ne fait pas non plus état de l’avis de droit du 17 mai 2023 de Me E______. Ainsi, la Cour ignore si le Tribunal a considéré comme recevables et pris en compte les pièces 49 à 52 de l’intimée, les écritures que le recourant avait déposées devant la Cour les 10 mai et 19 juin 2024, les allégués formés dans ces écritures, l’avis de droit du 17 mai 2023 de Me E______ et celui du 6 mars 2023 de K______ Ltd, étant souligné que celui-ci n’était pas accompagné d’une traduction en français. Dans ces conditions, la Cour n’est pas en mesure d’exercer son contrôle, notamment de revoir l’appréciation des preuves à laquelle a procédé le premier juge et de vérifier si celui-ci a traité tous les arguments soulevés par le recourant en relation avec l’art. 27 al. 1 et 2 let. a et b LDIP, y compris, cas échéant, ceux résultant de l’avis de droit du 6 mars 2023. Le recours se révèle ainsi fondé, de sorte que les chiffres 1 et 2 du dispositif du jugement attaqué seront annulés.</w:t>
      </w:r>
    </w:p>
    <w:p>
      <w:r>
        <w:t>- 12/14 -</w:t>
      </w:r>
    </w:p>
    <w:p>
      <w:r>
        <w:t>C/24282/2022</w:t>
      </w:r>
    </w:p>
    <w:p>
      <w:r>
        <w:t>Dans la mesure où la Cour ne peut pas examiner librement la cause, en raison de la limitation de sa cognition (art. 320 CPC), celle-ci sera renvoyée au Tribunal (art. 327 al. 3 let. a CPC) pour nouvelle décision dans le sens des considérants.</w:t>
      </w:r>
    </w:p>
    <w:p>
      <w:r>
        <w:rPr>
          <w:b/>
        </w:rPr>
        <w:t>E. 4.1</w:t>
      </w:r>
    </w:p>
    <w:p>
      <w:r>
        <w:t>La procédure se poursuivra devant le Tribunal, de sorte que les chiffres 3 à 5 du dispositif du jugement attaqué seront annulés. Le Tribunal statuera à nouveau, le moment venu, sur les frais judiciaires et dépens de première instance.</w:t>
      </w:r>
    </w:p>
    <w:p>
      <w:r>
        <w:rPr>
          <w:b/>
        </w:rPr>
        <w:t>E. 4.2</w:t>
      </w:r>
    </w:p>
    <w:p>
      <w:r>
        <w:t>Vu l'issue du recours, les frais judiciaires de celui-ci, arrêtés à 5'200 fr., seront laissés à la charge du canton à concurrence de 5'000 fr. (art. 107 al. 2 CPC) et de 200 fr. à charge de l’intimée, qui s’était opposée à la restitution de l’effet suspensif. L'avance de frais de 5'200 fr. versée par le recourant lui sera restituée (art. 111 al. 1 CPC). L’intimée versera 200 fr. à l’Etat de Genève. Compte tenu du renvoi de la cause au Tribunal, la répartition des dépens de la procédure de recours, arrêtés à 2'500 fr. (art. 84, 88, 89, 90 RTFMC) sera déléguée à cette autorité (art. 104 al. 4 CPC). * * * * *</w:t>
      </w:r>
    </w:p>
    <w:p>
      <w:r>
        <w:t>- 13/14 -</w:t>
      </w:r>
    </w:p>
    <w:p>
      <w:r>
        <w:t>C/24282/2022 PAR CES MOTIFS, La Chambre civile : A la forme : Déclare recevable le recours interjeté le 27 octobre 2025 par A______ contre le jugement JTPI/13247/2025 rendu le 14 octobre 2025 par le Tribunal de première instance dans la cause C/24282/2022-22 SML. Au fond : Annule le jugement attaqué. Renvoie la cause au Tribunal pour nouvelle décision dans le sens des considérants. Déboute les parties de toutes autres conclusions de recours. Sur les frais : Arrête les frais judiciaires de recours à 5'200 fr., les laisse à la charge de l'Etat de Genève à concurrence de 5'000 fr. et les met à la charge de B______ à concurrence de 200 fr. Invite les Services financiers du Pouvoir judiciaire à restituer 5'200 fr. à A______. Condamne B______ à verser 200 fr. aux Services financiers du Pouvoir judiciaire. Arrête à 2'500 fr. les dépens de recours. Délègue au Tribunal de première instance la répartition des dépens de recours. Siégeant : Madame Fabienne GEISINGER-MARIETHOZ, présidente; Monsieur Laurent RIEBEN, Monsieur Ivo BUETTI, juges; Madame Laura SESSA, greffière. La présidente : Fabienne GEISINGER-MARIETHOZ</w:t>
      </w:r>
    </w:p>
    <w:p>
      <w:r>
        <w:t>La greffière : Laura SESSA</w:t>
      </w:r>
    </w:p>
    <w:p>
      <w:r>
        <w:t>- 14/14 -</w:t>
      </w:r>
    </w:p>
    <w:p>
      <w:r>
        <w:t>C/24282/2022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