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ACJC/55/2023 vom 19. Januar 2023</w:t>
      </w:r>
    </w:p>
    <w:p>
      <w:r>
        <w:t>GE Cour de justice, 2023-01-19, FR</w:t>
      </w:r>
    </w:p>
    <w:p>
      <w:r>
        <w:rPr>
          <w:b/>
        </w:rPr>
        <w:t xml:space="preserve">Quelle: </w:t>
      </w:r>
      <w:r>
        <w:t>https://mcp.opencaselaw.ch/entscheid/ge_gerichte_ACJC_55_2023</w:t>
      </w:r>
    </w:p>
    <w:p>
      <w:r>
        <w:t>FR: GE_GERICHTE ACJC/55/2023 du 19 janvier 2023</w:t>
      </w:r>
    </w:p>
    <w:p>
      <w:r>
        <w:t>IT: GE_GERICHTE ACJC/55/2023 del 19 gennaio 2023</w:t>
      </w:r>
    </w:p>
    <w:p>
      <w:pPr>
        <w:pStyle w:val="Heading2"/>
      </w:pPr>
      <w:r>
        <w:t>Erwägungen</w:t>
      </w:r>
    </w:p>
    <w:p>
      <w:r>
        <w:rPr>
          <w:b/>
        </w:rPr>
        <w:t>E. 1</w:t>
      </w:r>
    </w:p>
    <w:p>
      <w:r>
        <w:t>1.1.1 La décision d'interprétation ou de rectification peut faire l'objet d'un recours (art. 334 al. 3 CPC).</w:t>
      </w:r>
    </w:p>
    <w:p>
      <w:r>
        <w:t>Lorsque l'autorité de première instance rejette ou déclare irrecevable une requête d'interprétation ou de rectification, sa décision est susceptible de faire l'objet d'un recours au sens strict. En revanche, lorsque le premier juge admet la demande d'interprétation ou de rectification, il rend une nouvelle décision au fond, qui est communiquée aux parties (art. 334 al. 4 CPC) et qui peut être attaquée, par les voies de droit ouvertes contre la décision initiale, c'est-à-dire soit l'appel ou le recours (ATF 143 III 520 consid. 6.3). Ce recours différé ne peut toutefois avoir trait qu'aux points sur lesquels portaient la procédure de rectification (SCHWEIZER, Commentaire romand CPC, 2019, n° 23 et 24 ad art. 334 CPC).</w:t>
      </w:r>
    </w:p>
    <w:p>
      <w:r>
        <w:t>1.1.2 En l'occurrence, le jugement entrepris, portant numéro JTPI/4844/2022 rectifié le 23 juin 2022, constitue une décision finale, qui statue sur le partage des avoirs de prévoyance professionnelle des parties, soit une affaire patrimoniale, dont la valeur litigieuse, au dernier état des conclusions de première instance, est supérieure à 10'000 fr. (art. 308 al. 1 let. a et 308 al. 2 CPC). La voie de l'appel est dès lors ouverte.</w:t>
      </w:r>
    </w:p>
    <w:p>
      <w:r>
        <w:rPr>
          <w:b/>
        </w:rPr>
        <w:t>E. 1.2</w:t>
      </w:r>
    </w:p>
    <w:p>
      <w:r>
        <w:t>Déposé dans le délai et la forme prescrits par la loi (art. 130 al. 1, 131, 145 al. 1 let. b et 311 al. 1 CPC), l'appel est recevable, le jugement rectifié faisant courir un nouveau délai de recours sur les points concernés par la rectification (ATF 131 III 164 consid. 1.2.3).</w:t>
      </w:r>
    </w:p>
    <w:p>
      <w:r>
        <w:rPr>
          <w:b/>
        </w:rPr>
        <w:t>E. 1.3</w:t>
      </w:r>
    </w:p>
    <w:p>
      <w:r>
        <w:t>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est en principe aussi possible même si la partie concernée est représentée par un mandataire professionnel (arrêt du</w:t>
      </w:r>
    </w:p>
    <w:p>
      <w:r>
        <w:t>- 5/10 -</w:t>
      </w:r>
    </w:p>
    <w:p>
      <w:r>
        <w:t>C/9848/2021 Tribunal fédéral 5A_221/2018 du 4 juin 2018 consid. 3.3.1; REETZ, Kommentar zur Schweizerischen Zivilprozessordnung, 2016, n° 26 et 51 ad art. 308- 318 CPC).</w:t>
      </w:r>
    </w:p>
    <w:p>
      <w:r>
        <w:t>Il se justifie ainsi de convertir l'acte intitulé "recours" en acte d'appel, les conditions de recevabilité de l'appel étant remplies et cela ne portant pas atteinte aux droits de l'intimée.</w:t>
      </w:r>
    </w:p>
    <w:p>
      <w:r>
        <w:rPr>
          <w:b/>
        </w:rPr>
        <w:t>E. 1.4</w:t>
      </w:r>
    </w:p>
    <w:p>
      <w:r>
        <w:t>La Cour revoit la cause en fait et en droit avec un plein pouvoir d'examen (art. 310 CPC), mais uniquement dans la limite des griefs qui sont formulés (ATF 142 III 413 consid. 2.2.4).</w:t>
      </w:r>
    </w:p>
    <w:p>
      <w:r>
        <w:t>Le juge établit les faits d'office pour toutes les questions qui touchent à la prévoyance professionnelle (art. 277 al. 3 CPC). La maxime inquisitoire ne dispense toutefois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En revanche, en seconde instance, les maximes des débats et de disposition sont applicables (ATF 129 III 481 consid. 3.3; arrêt du Tribunal fédéral 5A_18/2018 du 16 mars 2018 consid. 6).</w:t>
      </w:r>
    </w:p>
    <w:p>
      <w:r>
        <w:rPr>
          <w:b/>
        </w:rPr>
        <w:t>E. 2</w:t>
      </w:r>
    </w:p>
    <w:p>
      <w:r>
        <w:t>L'appelant a produit des pièces nouvelles.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La diligence requise suppose que dans la procédure de première instance chaque partie expose l'état de fait de manière soigneuse et complète et qu'elle amène tous les éléments propres à établir les faits jugés importants (arrêts du Tribunal fédéral 5A_1006/2017 du 5 février 2018 consid. 3.3 et 4A_334/2012 du 16 octobre 2012 consid. 3.1, in SJ 2013 I 311).</w:t>
      </w:r>
    </w:p>
    <w:p>
      <w:r>
        <w:rPr>
          <w:b/>
        </w:rPr>
        <w:t>E. 2.2</w:t>
      </w:r>
    </w:p>
    <w:p>
      <w:r>
        <w:t>En l'occurrence, les pièces nouvelles G et H produites par l'appelant sont postérieures au 6 avril 2022, date à laquelle le premier juge a gardé la cause à juger. Cela étant, ces pièces auraient pu être demandées auprès de sa caisse de prévoyance professionnelle avant la date précitée et produites en première instance, car elles concernent des précisions relatives au montant de ses avoirs accumulés au jour du mariage, soit un fait dont il devait informer le premier juge.</w:t>
      </w:r>
    </w:p>
    <w:p>
      <w:r>
        <w:t>Les pièces susvisées sont donc irrecevables, de même que les faits s'y rapportant. Elles ne sont toutefois pas déterminantes pour l'issue du litige, la pièce n° 6</w:t>
      </w:r>
    </w:p>
    <w:p>
      <w:r>
        <w:t>- 6/10 -</w:t>
      </w:r>
    </w:p>
    <w:p>
      <w:r>
        <w:t>C/9848/2021 produite par l'appelant en premier instance étant suffisamment claire (cf. consid. 3.2 infra).</w:t>
      </w:r>
    </w:p>
    <w:p>
      <w:r>
        <w:rPr>
          <w:b/>
        </w:rPr>
        <w:t>E. 3</w:t>
      </w:r>
    </w:p>
    <w:p>
      <w:r>
        <w:t>L'appelant fait grief au Tribunal d'avoir rectifié le chiffre 9 du dispositif du jugement JTPI/4844/2022 en date du 23 juin 2022.</w:t>
      </w:r>
    </w:p>
    <w:p>
      <w:r>
        <w:t>3.1.1 Aux termes de l'art. 334 al. 1 CPC, si le dispositif de la décision est peu clair, contradictoire ou incomplet, ou s'il ne correspond pas à la motivation, le Tribunal procède, sur requête, ou d'office, à l'interprétation ou à la rectification de la décision.</w:t>
      </w:r>
    </w:p>
    <w:p>
      <w:r>
        <w:t>En revanche, la correction d'erreurs qui procèdent d'une mauvaise application du droit ou d'une constatation inexacte des faits doit être effectuée par la voie d'un recours (HERZOG, Basler Kommentar, Schweizerische Zivilprozessordnung, 2017, n° 8 ad art. 334 CPC). L'interprétation et la rectification ne tendent pas à modifier le jugement rendu (JEANDIN, Commentaire romand CPC, 2019, n° 20 ad Intro art. 308-334 CPC), à la manière d'un appel déguisé. Le juge saisi d'une demande d'interprétation ou de rectification ne doit donc pas changer le fond du jugement (SPÜHLER/DOLGE/GEHRI, Schweizerisches Zivilprozessrecht, 2010, n° 101 p. 389).</w:t>
      </w:r>
    </w:p>
    <w:p>
      <w:r>
        <w:t>En effet, en vertu du principe de dessaisissement, le juge ne peut corriger sa décision une fois celle-ci prononcée, même s'il a le sentiment de s'être trompé. Une erreur de fait ou de droit ne peut être corrigée que par les voies de recours. La voie de l'interprétation ou de la rectification permet toutefois, exceptionnellement,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(ATF 143 III 520 consid. 6.1; 143 III 420 consid. 2.1 et 2.3; 139 III 379 consid. 2.1 et 2.2; arrêts du Tribunal fédéral 5A_776/2019 du 27 octobre 2020 consid. 3.1; 5A_79/2019 du 21 novembre 19 consid. 4.4.2 et 5D_192/2017 du 17 mai 2018 consid. 3.2).</w:t>
      </w:r>
    </w:p>
    <w:p>
      <w:r>
        <w:t>- 7/10 -</w:t>
      </w:r>
    </w:p>
    <w:p>
      <w:r>
        <w:t>C/9848/2021</w:t>
      </w:r>
    </w:p>
    <w:p>
      <w:r>
        <w:t>3.1.2 Sous réserve de la rectification de simples erreurs d'écriture ou de calcul, il faut, au préalable, donner aux parties l'occasion de se déterminer (art. 334 al. 2 CPC). Si une décision qui a déjà été communiquée est modifiée sans entendre les parties, il y a là une violation grave du droit d'être entendu (OGer/ZH du 18 février 2015 (RU140061-O/U) consid. 2.2.1).</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t>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 tel le fait de ne pas avoir eu l'occasion de participer à la procédure - ainsi que l'incompétence qualifiée de l'autorité qui a rendu la décision, de sorte qu'il serait choquant de maintenir sa décision (ATF 147 III 226 consid. 3.1.2).</w:t>
      </w:r>
    </w:p>
    <w:p>
      <w:r>
        <w:t>3.1.3 Aux termes de l'art. 122 CC, le principe est que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(art. 123 al. 1 CC).</w:t>
      </w:r>
    </w:p>
    <w:p>
      <w:r>
        <w:rPr>
          <w:b/>
        </w:rPr>
        <w:t>E. 3.2</w:t>
      </w:r>
    </w:p>
    <w:p>
      <w:r>
        <w:t>En l'espèce, le Tribunal n'a pas correctement appliqué les principes rappelés ci-dessus. Il a rectifié, à deux reprises, le chiffre 9 du dispositif du jugement de divorce JTPI/4844/2022 en modifiant le montant dû à l'intimée par l'appelant à titre de partage des avoirs professionnels accumulés durant le mariage. Ces rectifications ne concernaient pas une erreur de calcul ou de plume, mais l'appréciation des preuves, en particulier de la pièce n° 6 produite par l'appelant,</w:t>
      </w:r>
    </w:p>
    <w:p>
      <w:r>
        <w:t>- 8/10 -</w:t>
      </w:r>
    </w:p>
    <w:p>
      <w:r>
        <w:t>C/9848/2021 soit l'attestation de la Fondation institution supplétive LPP du 1er juin 2021 et l'extrait de compte de ce dernier.</w:t>
      </w:r>
    </w:p>
    <w:p>
      <w:r>
        <w:t>Le premier juge s'est fondé sur la pièce susvisée pour arrêter le montant à partager entre les parties à titre de prévoyance professionnelle. Ces dernières ont d'ailleurs chacune motivé leur requête en rectification des 3 et 24 mai 2022 en se fondant sur leur propre appréciation de cette pièce. Elles ne se plaignaient donc pas d'une erreur de rédaction ou de calcul, mais d'une appréciation inexacte des faits concernant le montant des avoirs accumulés par l'appelant avant le mariage.</w:t>
      </w:r>
    </w:p>
    <w:p>
      <w:r>
        <w:t>Or, une appréciation erronée des preuves doit être attaquée non par le moyen de la rectification, mais selon les voies de droit topiques. Les requêtes en rectification des parties des 3 et 24 mai 2022 étaient donc manifestement infondées, ce qui aurait dû conduire à leur rejet.</w:t>
      </w:r>
    </w:p>
    <w:p>
      <w:r>
        <w:t>Par ailleurs, le premier juge a procédé à ces rectifications indues sans entendre au préalable la partie adverse, et sans motivation, en procédant directement sur la minute de sa première décision.</w:t>
      </w:r>
    </w:p>
    <w:p>
      <w:r>
        <w:t>Compte tenu de ce qui précède, la question de la nullité des deux rectifications opérées par le Tribunal se pose. Elle peut toutefois rester indécise, puisque l'intimée a acquiescé aux conclusions de l'appelant, reconnaissant que le montant qui lui est dû au titre de partage de la prévoyance professionnelle s'élève à 1'682 fr. 45, comme arrêté par le premier juge lors de sa première rectification du 12 mai 2022.</w:t>
      </w:r>
    </w:p>
    <w:p>
      <w:r>
        <w:t>En effet, il ressort clairement de la pièce n° 6 produite par l'appelant que ses avoirs de prévoyance s'élevaient à 32'830 fr. 18, intérêts compris, au jour du mariage des parties, soit le ______ 2014 (montant incluant les avoirs transférés sur son compte n° 1______ en novembre 2016, cotisés avant le mariage, ce qui est admis), et à 36'195 fr. 08 le 21 mai 2021, date de l'introduction de la procédure de divorce. Les avoirs de prévoyance à partager entre les parties se montent ainsi à 3'365 fr. (36'195 fr. 08 - 32'830 fr. 18), si bien que 1'682 fr. 45 reviennent à chacune d'entre elles.</w:t>
      </w:r>
    </w:p>
    <w:p>
      <w:r>
        <w:t>Partant, le chiffre 9 du dispositif du jugement JTPI/4844/2022 rectifié le 23 juin 2022 sera annulé et il sera statué à nouveau (art. 318 al. 1 let. b CPC) sur ce point dans le sens qui précède.</w:t>
      </w:r>
    </w:p>
    <w:p>
      <w:r>
        <w:rPr>
          <w:b/>
        </w:rPr>
        <w:t>E. 4.1</w:t>
      </w:r>
    </w:p>
    <w:p>
      <w:r>
        <w:t>Lorsque l'instance d'appel statue à nouveau, elle se prononce sur les frais de première instance (art. 318 al. 3 CPC).</w:t>
      </w:r>
    </w:p>
    <w:p>
      <w:r>
        <w:t>La fixation et la répartition des frais et dépens de première instance ne sont pas remises en cause et sont au surplus conformes aux principes juridiques applicables</w:t>
      </w:r>
    </w:p>
    <w:p>
      <w:r>
        <w:t>- 9/10 -</w:t>
      </w:r>
    </w:p>
    <w:p>
      <w:r>
        <w:t>C/9848/2021 (art. 30 RTFMC; art. 107 al, 1 let. c et 118 al. 1 let. b CPC). Elles seront donc confirmées.</w:t>
      </w:r>
    </w:p>
    <w:p>
      <w:r>
        <w:rPr>
          <w:b/>
        </w:rPr>
        <w:t>E. 4.2</w:t>
      </w:r>
    </w:p>
    <w:p>
      <w:r>
        <w:t>Compte tenu de l'issue de la procédure, les frais judiciaires d'appel, fixés à 400 fr., seront laissés à la charge de l'Etat de Genève (art. 107 al. 2 CPC).</w:t>
      </w:r>
    </w:p>
    <w:p>
      <w:r>
        <w:t>Vu la nature familiale du litige, chaque partie supportera ses propres dépens d'appel (art. 95 al. 1 let. b et al. 3 et 107 al. 1 let c. CPC). * * * * *</w:t>
      </w:r>
    </w:p>
    <w:p>
      <w:r>
        <w:t>- 10/10 -</w:t>
      </w:r>
    </w:p>
    <w:p>
      <w:r>
        <w:t>C/9848/2021 PAR CES MOTIFS, La Chambre civile : A la forme : Déclare recevable l'appel interjeté le 20 juillet 2022 par A______ contre le chiffre 9 du jugement JTPI/4844/2022 rendu le 25 avril 2022 et rectifié le 23 juin 2022 par le Tribunal de première instance dans la cause C/9848/2021. Au fond : Annule le chiffre 9 du dispositif de ce jugement. Statuant à nouveau sur ce point : Ordonne à la Fondation institution supplétive LPP, case postale, 8050 Zurich, de prélever 1'682 fr. 45, intérêts rémunératoires en sus depuis le 21 mai 2021, du compte de libre passage n° 1______ de A______ et de transférer cette somme sur le compte de libre passage ouvert par B______ auprès de l'institution de prévoyance de son choix. Déboute les parties de toutes autres conclusions. Sur les frais : Arrête les frais judiciaires d'appel à 400 fr. et les laisse à la charge de l'Etat de Genève. Dit qu'il n'est pas alloué de dépens d'appel. Siégeant : Madame Ursula ZEHETBAUER GHAVAMI, présidente; Madame Sylvie DROIN, Monsieur Jean REYMOND,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