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ACJC/55/2019 vom 15. Januar 2019</w:t>
      </w:r>
    </w:p>
    <w:p>
      <w:r>
        <w:t>GE Cour de justice, 2019-01-15, FR</w:t>
      </w:r>
    </w:p>
    <w:p>
      <w:r>
        <w:rPr>
          <w:b/>
        </w:rPr>
        <w:t xml:space="preserve">Quelle: </w:t>
      </w:r>
      <w:r>
        <w:t>https://mcp.opencaselaw.ch/entscheid/ge_gerichte_ACJC_55_2019</w:t>
      </w:r>
    </w:p>
    <w:p>
      <w:r>
        <w:t>FR: GE_GERICHTE ACJC/55/2019 du 15 janvier 2019</w:t>
      </w:r>
    </w:p>
    <w:p>
      <w:r>
        <w:t>IT: GE_GERICHTE ACJC/55/2019 del 15 gennaio 2019</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La présente cause est de nature non pécuniaire, dès lors qu’elle porte notamment sur la réglementation des droits parentaux (arrêt du Tribunal fédéral 5A_765/2012 du 19 février 2013 consid. 1.1), de sorte que la voie de l’appel est ouverte.</w:t>
      </w:r>
    </w:p>
    <w:p>
      <w:r>
        <w:rPr>
          <w:b/>
        </w:rPr>
        <w:t>E. 1.2</w:t>
      </w:r>
    </w:p>
    <w:p>
      <w:r>
        <w:t>L'acte d'appel doit revêtir la forme écrite et être motivé (art. 311 al. 1 CPC). La motivation de l’appelant doit être suffisamment explicite pour que l'instance d'appel puisse la comprendre aisément, ce qui suppose une désignation précise des passages de la décision que le recourant attaque et des pièces du dossier sur lesquelles repose sa critique. La motivation de l'appel constitue une condition de recevabilité, qui doit être examinée d'office. Lorsque l'appel est insuffisamment motivé, l'autorité cantonale n'entre pas en matière (ATF 138 III 374 consid. 4.3.1; arrêt du Tribunal fédéral 4A_476/2015 du 11 janvier 2016 consid. 3). En l'espèce, l’appelant a conclu à l’annulation de la totalité du jugement. Il ne critique toutefois pas le raisonnement du Tribunal ayant abouti au prononcé des</w:t>
      </w:r>
    </w:p>
    <w:p>
      <w:r>
        <w:t>- 7/14 -</w:t>
      </w:r>
    </w:p>
    <w:p>
      <w:r>
        <w:t>C/2833/2018 chiffres 1 et 11 du dispositif du jugement, portant respectivement sur le principe de la séparation et le non-paiement d’une contribution d’entretien entre les époux – prenant au contraire des conclusions allant dans le sens desdits chiffres du dispositif – de sorte que ces conclusions à cet égard sont irrecevables. Formé par écrit dans le délai utile de trente jours, l'appel est au surplus recevable (art. 130, 131, 142 al. 1 et 311 al. 1 CPC).</w:t>
      </w:r>
    </w:p>
    <w:p>
      <w:r>
        <w:rPr>
          <w:b/>
        </w:rPr>
        <w:t>E. 1.3</w:t>
      </w:r>
    </w:p>
    <w:p>
      <w:r>
        <w:t>La Cour dispose d'un pouvoir d'examen complet (art. 310 CPC). Toutefois, les mesures protectrices de l'union conjugale étant soumises à la procédure sommaire, sa cognition est limitée à la simple vraisemblance des faits et à un examen sommaire du droit (ATF 127 III 474 consid. 2b/bb, JdT 2002 I 352; arrêt du Tribunal fédéral 5A_792/2016 du 23 janvier 2017 consid. 4.1).</w:t>
      </w:r>
    </w:p>
    <w:p>
      <w:r>
        <w:rPr>
          <w:b/>
        </w:rPr>
        <w:t>E. 1.4</w:t>
      </w:r>
    </w:p>
    <w:p>
      <w:r>
        <w:t>S'agissant du sort des enfants mineurs, les maximes d'office et inquisitoire illimitée s'appliquent (art. 55 al. 2, 58 al. 2 et 296 CPC; ATF 128 III 411 consid. 3.2.1. ; arrêt du Tribunal fédéral 5A _512/2017 du 22 décembre 2017 consid. 6.1), ce qui a pour conséquence que le juge n'est pas lié par les conclusions des parties (art. 296 al. 3 CPC).</w:t>
      </w:r>
    </w:p>
    <w:p>
      <w:r>
        <w:rPr>
          <w:b/>
        </w:rPr>
        <w:t>E. 2</w:t>
      </w:r>
    </w:p>
    <w:p>
      <w:r>
        <w:t>En raison de la nationalité moldave de l’intimée, le litige présente un élément d'extranéité. Au vu du domicile et de la résidence habituelle genevoises des parties et de leur enfant mineur, la Cour de céans est compétente pour trancher le présent litige (art. 46, 79 et 85 al. 1 LDIP; art. 5 CLaH96 [RS 0.211.231.011]). Le droit suisse est par ailleurs applicable (art. 48 al. 1, 82 al. 1 et 83 LDIP; art. 4 al. 1 de la Convention de La Haye du 2 octobre 1973 sur la loi applicable aux obligations alimentaires [RS 0.211.213.01]).</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présenter des nova en appel même si les conditions de l'art. 317 al. 1 CPC ne sont pas remplies (arrêt du Tribunal fédéral 5A_788/2017 du 2 juillet 2018, consid. 4.2.1.).</w:t>
      </w:r>
    </w:p>
    <w:p>
      <w:r>
        <w:rPr>
          <w:b/>
        </w:rPr>
        <w:t>E. 3.2</w:t>
      </w:r>
    </w:p>
    <w:p>
      <w:r>
        <w:t>En l'espèce, seuls sont remis en cause en appel les points du dispositif concernant l’enfant mineur des parties, de sorte les pièces nouvellement produites par les parties sont recevables, sans préjudice de leur pertinence.</w:t>
      </w:r>
    </w:p>
    <w:p>
      <w:r>
        <w:t>- 8/14 -</w:t>
      </w:r>
    </w:p>
    <w:p>
      <w:r>
        <w:t>C/2833/2018</w:t>
      </w:r>
    </w:p>
    <w:p>
      <w:r>
        <w:rPr>
          <w:b/>
        </w:rPr>
        <w:t>E. 4</w:t>
      </w:r>
    </w:p>
    <w:p>
      <w:r>
        <w:t>; SCHWEIGHAUSER, Kommentar zur Schweizerischen Zivilprozessordnung, 3ème éd., 2016, n. 3 ad art. 296 CPC; JEANDIN, in CPC, Code de procédure civile commenté, 2011, n. 18 ad art. 296 CPC; HOHL, Procédure civile, tome II, 2010, n. 2091 et 2392).</w:t>
      </w:r>
    </w:p>
    <w:p>
      <w:r>
        <w:rPr>
          <w:b/>
        </w:rPr>
        <w:t>E. 4.1</w:t>
      </w:r>
    </w:p>
    <w:p>
      <w:r>
        <w:t>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Lorsque la cause est soumise à la maxime d'office, le dépôt de conclusions nouvelles en appel est admissible jusqu'aux délibérations, les restrictions posées par l'art. 317 al. 2 CPC n'entrant pas en considération dans ce cadre (ACJC/774/2018 du 14 juin 2018 consid. 5.1 ; ACJC/592/2017 du 19 mai 2017 consid.</w:t>
      </w:r>
    </w:p>
    <w:p>
      <w:r>
        <w:rPr>
          <w:b/>
        </w:rPr>
        <w:t>E. 4.2</w:t>
      </w:r>
    </w:p>
    <w:p>
      <w:r>
        <w:t>En l'espèce, les conclusions relatives à l’attribution des droits parentaux, la contribution à l’entretien de l’enfant mineur et l’attribution du logement conjugal sont soumises à la maxime d’office. Les conclusions nouvelles de l’appelant sont ainsi recevables.</w:t>
      </w:r>
    </w:p>
    <w:p>
      <w:r>
        <w:rPr>
          <w:b/>
        </w:rPr>
        <w:t>E. 5</w:t>
      </w:r>
    </w:p>
    <w:p>
      <w:r>
        <w:t>L’appelant considère ne pas avoir été valablement convoqué. Il reproche au Tribunal de ne pas lui avoir fait notifier personnellement la convocation à l’audience du 2 mai 2018. Il considère également que le premier juge a failli à son devoir d’interpellation en omettant d’interroger l’intimée sur les raisons de son absence à l’audience et de ne pas avoir vérifié si la convocation lui avait été notifiée de manière conforme.</w:t>
      </w:r>
    </w:p>
    <w:p>
      <w:r>
        <w:t>5.1.1 L'art. 138 al. 1 CPC prévoit que les citations, les ordonnances et les décisions sont notifiées par envoi recommandé ou d'une autre manière contre accusé de réception. L’acte est réputé notifié lorsqu’il a été remis au destinataire, à un de ses employés ou à une personne de seize ans au moins vivant dans le même ménage. L’ordre donné par le tribunal de notifier l’acte personnellement au destinataire est réservé (art. 138 al. 2 CPC). Un envoi recommandé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(ATF 134 V 49 consid. 4</w:t>
      </w:r>
    </w:p>
    <w:p>
      <w:r>
        <w:t>- 9/14 -</w:t>
      </w:r>
    </w:p>
    <w:p>
      <w:r>
        <w:t>C/2833/2018 p. 51; 130 III 396 consid. 1.2.3 p. 399; arrêt du Tribunal fédéral 5A_28/2015 du 22 mai 2015 consid. 3.1.2). 5.1.2 Le juge a le devoir d'interpeller les parties lorsque leurs actes ou leurs déclarations sont peu clairs, contradictoires, imprécis ou manifestement incomplets, et il doit leur donner l'occasion de les clarifier ou de les compléter (art. 56 CPC). Le devoir d'interpellation du juge ne doit pas servir à réparer des négligences procédurales (arrêts du Tribunal fédéral 4D_57/2013 du 2 décembre 2013 consid. 3.2; 5A_115/2012 du 20 avril 2012 consid. 4.5.2).</w:t>
      </w:r>
    </w:p>
    <w:p>
      <w:r>
        <w:rPr>
          <w:b/>
        </w:rPr>
        <w:t>E. 5.2</w:t>
      </w:r>
    </w:p>
    <w:p>
      <w:r>
        <w:t>En l’espèce, la convocation à la première audience a été reçue par l’appelant quand bien même les parties vivaient sous le même toit et que la notification a été effectuée par le biais d’un pli recommandé ordinaire dont l’avis a été déposé dans la case postale commune aux parties. Dès lors, le premier juge n’avait aucune raison de supposer que la convocation à la seconde audience, notifiée de manière identique à la première, n’atteindrait pas l’appelant. Par conséquent, le Tribunal n’avait pas à ordonner que la convocation à la seconde audience soit notifiée personnellement à l’appelant. Le pli recommandé litigieux a été retiré par l’épouse de l’appelant qui est une personne majeure vivant dans le même ménage que celui-ci, de sorte qu’il lui a été valablement notifié. L’appelant n’a d’ailleurs pas rendu vraisemblable que son épouse aurait caché ce pli – il n’indique notamment ni où ni comment celui-ci aurait été retrouvé – alors que cette dernière affirme l’avoir déposé sur une table du domicile conjugal avec le reste du courrier un mois avant l’audience. Par conséquent, l’appelant été valablement convoqué à l’audience du 2 mai 2018. Par ailleurs, il ne peut être reproché à l’intimée de ne pas avoir rappelé à son époux de prendre connaissance de son courrier et de ne pas l’avoir informé de la tenue d’une nouvelle audience dans une procédure dont il connaissait l’existence, pas plus qu’au premier juge de ne pas s’être informé auprès de l’intimée sur les raisons de l’absence de son adverse partie qui avait été valablement convoquée.</w:t>
      </w:r>
    </w:p>
    <w:p>
      <w:r>
        <w:rPr>
          <w:b/>
        </w:rPr>
        <w:t>E. 6</w:t>
      </w:r>
    </w:p>
    <w:p>
      <w:r>
        <w:t>L’appelant fait valoir que son droit d’être entendu aurait été violé puisqu’il a été privé de participer à la procédure devant le Tribunal.</w:t>
      </w:r>
    </w:p>
    <w:p>
      <w:r>
        <w:t>6.1.1 Le droit d'être entendu garanti par l'art.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w:t>
      </w:r>
    </w:p>
    <w:p>
      <w:r>
        <w:t>- 10/14 -</w:t>
      </w:r>
    </w:p>
    <w:p>
      <w:r>
        <w:t>C/2833/2018 à influer sur la décision à rendre (ATF 142 II 218 consid. 2.3 et les références citées ; arrêt du Tribunal fédéral 5A_571/2018 du 14 septembre 2018 consid. 3.1). En raison de sa nature formelle, la violation de ce droit entraîne en principe l'annulation de la décision. Selon la jurisprudence, un tel vice résultant de la violation du droit d'être entendu peut toutefois être considéré comme guéri lorsque le pouvoir d'examen de l'instance de recours n'est pas limité par rapport à celui de l'autorité inférieure et qu'il n'en résulte aucun préjudice pour le recourant. Cette façon de remédier à une telle violation est exclue lorsqu'elle comprend une atteinte particulièrement grave au droit des parties et doit demeurer l'exception (ATF 130 II 530 consid. 7.3 ; 126 I 68 consid. 2 ; arrêt du Tribunal fédéral 4P.244/1999 du 18 février 2002 consid. 2c). 6.1.2 Lorsque la réponse à la demande n'est pas déposée dans le délai imparti, le tribunal fixe au défendeur un bref délai supplémentaire. Si la réponse n'est pas déposée à l'échéance du délai, le tribunal rend la décision finale si la cause est en état d'être jugée (art. 223 CPC).</w:t>
      </w:r>
    </w:p>
    <w:p>
      <w:r>
        <w:rPr>
          <w:b/>
        </w:rPr>
        <w:t>E. 6.2</w:t>
      </w:r>
    </w:p>
    <w:p>
      <w:r>
        <w:t>En l’espèce, l’appelant a été valablement invité à se déterminer à deux reprises, oralement ainsi que par écrit, et c’est volontairement qu’il a renoncé à participer à la procédure de première instance. Il s’ensuit qu'en retenant que l'appelant a décidé de ne pas comparaître de son propre chef et en gardant la cause à juger, le Tribunal n’a pas violé son droit d’être entendu.</w:t>
      </w:r>
    </w:p>
    <w:p>
      <w:r>
        <w:t>En tout état, la Cour dispose d'un pouvoir de cognition complet sur la question litigieuse de sorte qu'un éventuel défaut de motivation pourrait être guéri par le présent arrêt. Le grief de l’appelant est dès lors infondé.</w:t>
      </w:r>
    </w:p>
    <w:p>
      <w:r>
        <w:rPr>
          <w:b/>
        </w:rPr>
        <w:t>E. 7</w:t>
      </w:r>
    </w:p>
    <w:p>
      <w:r>
        <w:t>L’appelant reproche au Tribunal d’avoir accordé la garde de l’enfant à sa mère, de l’avoir condamné à verser une contribution à l’entretien de l’enfant et de ne pas lui avoir attribué la jouissance exclusive du domicile conjugal. Dès lors que l’examen du versement d’une contribution d’entretien en faveur de l’enfant et de l’attribution de la jouissance du domicile conjugal – étant rappelé que les maximes d'office et inquisitoire illimitée s'appliquent sur ces deux points et que le juge n’est pas lié par les conclusions des parties – ne peuvent être dissociées de celle de l'attribution de la garde de l’enfant, cette dernière question doit être examinée en premier lieu.</w:t>
      </w:r>
    </w:p>
    <w:p>
      <w:r>
        <w:rPr>
          <w:b/>
        </w:rPr>
        <w:t>E. 7.1</w:t>
      </w:r>
    </w:p>
    <w:p>
      <w:r>
        <w:t>Aux termes de l'art. 176 al. 3 CC, relatif à l'organisation de la vie séparée, lorsque les époux ont des enfants mineurs, le juge ordonne les mesures nécessaires d'après les dispositions sur les effets de la filiation (cf. art. 273 ss CC).</w:t>
      </w:r>
    </w:p>
    <w:p>
      <w:r>
        <w:t>- 11/14 -</w:t>
      </w:r>
    </w:p>
    <w:p>
      <w:r>
        <w:t>C/2833/2018 Cette réglementation porte notamment sur la garde de l'enfant, les relations personnelles, la participation de chaque parent à la prise en charge de l'enfant et la contribution d'entretien (ATF 142 III 617 consid. 3.2.2). Bien que l'autorité parentale conjointe soit désormais la règle et qu'elle comprenne le droit de déterminer le lieu de résidence de l'enfant,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La possibilité concrète d'instaurer une garde alternée et sa compatibilité avec le bien de l'enfant sont dépendantes des circonstances du cas d'espèce.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(ATF 142 III 617 consid. 3.2.3).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Pour apprécier ces critères, le juge du fait, qui connaît le mieux les parties et le milieu dans lequel vit l'enfant, dispose d'un large pouvoir d'appréciation (ATF 142 III 617 consid. 3.2.5).</w:t>
      </w:r>
    </w:p>
    <w:p>
      <w:r>
        <w:rPr>
          <w:b/>
        </w:rPr>
        <w:t>E. 7.2</w:t>
      </w:r>
    </w:p>
    <w:p>
      <w:r>
        <w:t>En l’espèce, l’appelant sollicite la garde alternée de l’enfant. L’opposition de l’intimée à un tel mode de garde ne suffit pas à ce que celui-ci soit écarté d’emblée de sorte qu’il convient d’examiner si les parties sont en mesure de collaborer dans le cadre d'une prise en charge alternée de leur enfant ou si sa garde doit être attribuée exclusivement à l’un des deux parents. Dès lors que l’appelant n’avait pris aucune conclusion tendant à l’attribution de la garde de l’enfant en sa faveur, le Tribunal a renoncé à solliciter une évaluation sociale auprès du Service d'évaluation et d'accompagnement de la séparation parentale (ci-après : SEASP). Le dossier ne contient par conséquent que les allégations de chacune des parties, de sorte que la Cour ne s’estime pas suffisamment renseignée pour statuer sur l’attribution des droits parentaux.</w:t>
      </w:r>
    </w:p>
    <w:p>
      <w:r>
        <w:t>- 12/14 -</w:t>
      </w:r>
    </w:p>
    <w:p>
      <w:r>
        <w:t>C/2833/2018 Au vu de ce qui précède, il se justifie d’annuler les chiffres 5 à 7 du dispositif du jugement attaqué et de renvoyer la cause au Tribunal, afin qu'il instruise la question de la garde et des relations personnelles entre les parties et leur enfant mineur, notamment en sollicitant un rapport d'évaluation sociale auprès du SEASP, et rende une nouvelle décision. Il se justifie également d'annuler les chiffres 8 à 10 du dispositif du jugement attaqué, qui portent sur la prise en charge des frais de l’enfant, qui dépendront notamment du système de garde qui sera adopté. Il en ira de même des chiffres 2 à 4 du dispositif qui portent sur l’attribution du logement car si l’intimée s’est constituée un nouveau logement, elle persiste à réclamer la confirmation du jugement lui attribuant la jouissance exclusive du domicile conjugal. Or, cet octroi est également dépendant de l’attribution de la garde de l’enfant. Par conséquent, les chiffres 2 à 10 du dispositif du jugement attaqué seront annulés et la cause renvoyée au Tribunal pour complément d’instruction et nouvelle décision dans le sens des considérants.</w:t>
      </w:r>
    </w:p>
    <w:p>
      <w:r>
        <w:rPr>
          <w:b/>
        </w:rPr>
        <w:t>E. 8.1</w:t>
      </w:r>
    </w:p>
    <w:p>
      <w:r>
        <w:t>Les frais sont mis à la charge de la partie qui succombe (art. 106 al.1 CPC). Le tribunal peut s'écarter des règles générales et répartir les frais selon sa libre appréciation, notamment dans les litiges relevant du droit de la famille (art. 107 al. 1 let. c CPC).</w:t>
      </w:r>
    </w:p>
    <w:p>
      <w:r>
        <w:t>Lorsque la Cour réforme en tout ou en partie le jugement entrepris, elle se prononce aussi sur les frais de première instance (art. 318 al. 3 CPC).</w:t>
      </w:r>
    </w:p>
    <w:p>
      <w:r>
        <w:rPr>
          <w:b/>
        </w:rPr>
        <w:t>E. 8.2</w:t>
      </w:r>
    </w:p>
    <w:p>
      <w:r>
        <w:t>En l'espèce, les frais de première instance et leur répartition, conformes aux normes précitées et au demeurant non contestés, seront confirmés. Les frais judiciaires d'appel seront fixés à 600 fr., y compris la décision sur effet suspensif, (art. 31 et 37 du Règlement du 22 décembre 2010 fixant le tarif des frais en matière civile, [RTFMC - E 1 05.10]) et mis à la charge de l’appelant compte tenu du fait que c’est sa non-participation à la procédure devant le Tribunal qui donne lieu au renvoi de la cause (art. 95 et 106 al. 1 CPC). Ils seront compensés avec l'avance de frais versée par l’appelant, qui reste acquise à l'Etat à due concurrence (art. 111 al. 1 CPC), le solde de 400 fr. étant restitué à ce dernier. Chacune des parties assumera ses propres dépens d'appel (art. 107 al. 1 let. c CPC). * * * * *</w:t>
      </w:r>
    </w:p>
    <w:p>
      <w:r>
        <w:t>- 13/14 -</w:t>
      </w:r>
    </w:p>
    <w:p>
      <w:r>
        <w:t>C/2833/2018 PAR CES MOTIFS, La Chambre civile : A la forme : Déclare recevable l'appel interjeté le 16 juillet 2018 par A______ contre les chiffres 2 à</w:t>
      </w:r>
    </w:p>
    <w:p>
      <w:r>
        <w:rPr>
          <w:b/>
        </w:rPr>
        <w:t>E. 10</w:t>
      </w:r>
    </w:p>
    <w:p>
      <w:r>
        <w:t>du dispositif du jugement JTPI/10251/2018 rendu le 28 juin 2018 par le Tribunal de première instance dans la cause C/2833/2018-3 et irrecevable pour le surplus. Au fond : Annule les chiffres 2 à 10 du dispositif du jugement attaqué et cela fait : Renvoie la cause au Tribunal de première instance pour complément d’instruction et nouvelle décision dans le sens des considérants. Sur les frais : Arrête les frais de la procédure d'appel à 600 fr., les met à la charge d'A______ et les compense avec l'avance de frais versée, qui reste acquise à l'Etat de Genève à due concurrence. Ordonne aux Services financiers du Pouvoir judiciaire de restituer la somme de 400 fr. à A______. Dit que chaque partie supporte ses propres dépens d'appel. Siégeant : Monsieur Laurent RIEBEN, président; Madame Sylvie DROIN, Madame Fabienne GEISINGER-MARIETHOZ, juges; Madame Sandra MILLET, greffière. La présidente : Ursula ZEHETBAUER GHAVAMI</w:t>
      </w:r>
    </w:p>
    <w:p>
      <w:r>
        <w:t>La greffière : Camille LESTEVEN</w:t>
      </w:r>
    </w:p>
    <w:p>
      <w:r>
        <w:t>Indication des voies de recours :</w:t>
      </w:r>
    </w:p>
    <w:p>
      <w:r>
        <w:t>- 14/14 -</w:t>
      </w:r>
    </w:p>
    <w:p>
      <w:r>
        <w:t>C/2833/2018</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