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ACJC/555/2025 vom 25. April 2025</w:t>
      </w:r>
    </w:p>
    <w:p>
      <w:r>
        <w:t>GE Cour de justice, 2025-04-25, FR</w:t>
      </w:r>
    </w:p>
    <w:p>
      <w:r>
        <w:rPr>
          <w:b/>
        </w:rPr>
        <w:t xml:space="preserve">Quelle: </w:t>
      </w:r>
      <w:r>
        <w:t>https://mcp.opencaselaw.ch/entscheid/ge_gerichte_ACJC_555_2025</w:t>
      </w:r>
    </w:p>
    <w:p>
      <w:r>
        <w:t>FR: GE_GERICHTE ACJC/555/2025 du 25 avril 2025</w:t>
      </w:r>
    </w:p>
    <w:p>
      <w:r>
        <w:t>IT: GE_GERICHTE ACJC/555/2025 del 25 aprile 2025</w:t>
      </w:r>
    </w:p>
    <w:p>
      <w:pPr>
        <w:pStyle w:val="Heading2"/>
      </w:pPr>
      <w:r>
        <w:t>Erwägungen</w:t>
      </w:r>
    </w:p>
    <w:p>
      <w:r>
        <w:rPr>
          <w:b/>
        </w:rPr>
        <w:t>E. 1.1</w:t>
      </w:r>
    </w:p>
    <w:p>
      <w:r>
        <w:t>Le jugement entrepris ayant été communiqué aux parties avant le 1er janvier 2025, la présente procédure demeure régie par l'ancien droit de procédure (art. 404 al. 1 et 405 al. 1 CPC), sous réserve des dispositions d'application immédiate énumérées à l'art. 407f CPC.</w:t>
      </w:r>
    </w:p>
    <w:p>
      <w:r>
        <w:rPr>
          <w:b/>
        </w:rPr>
        <w:t>E. 1.2</w:t>
      </w:r>
    </w:p>
    <w:p>
      <w:r>
        <w:t>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Déposé dans le délai et selon la forme prescrits par la loi (art. 130 et 131 CPC), le recours est recevable.</w:t>
      </w:r>
    </w:p>
    <w:p>
      <w:r>
        <w:rPr>
          <w:b/>
        </w:rPr>
        <w:t>E. 2</w:t>
      </w:r>
    </w:p>
    <w:p>
      <w:r>
        <w:t>La cognition de la Cour est limitée à la violation du droit et à la constatation manifestement inexacte des faits (art. 320 CPC et 278 al. 3 LP), dans la limite des griefs motivés qui sont formulés.</w:t>
      </w:r>
    </w:p>
    <w:p>
      <w:r>
        <w:t>La procédure de séquestre est soumise dans toutes ses phases aux maximes de disposition et des débats (art. 58 al. 2 et 255 CPC a contrario) et la procédure sommaire est applicable (art. 251 let. a CPC).</w:t>
      </w:r>
    </w:p>
    <w:p>
      <w:r>
        <w:rPr>
          <w:b/>
        </w:rPr>
        <w:t>E. 3</w:t>
      </w:r>
    </w:p>
    <w:p>
      <w:r>
        <w:t>Les recourantes ont produit des pièces nouvelles.</w:t>
      </w:r>
    </w:p>
    <w:p>
      <w:r>
        <w:rPr>
          <w:b/>
        </w:rPr>
        <w:t>E. 3.1</w:t>
      </w:r>
    </w:p>
    <w:p>
      <w:r>
        <w:t>En matière d'opposition au séquestre, l'art. 278 al. 3 LP dispose que les parties peuvent alléguer des faits nouveaux dans la procédure de recours contre la décision rendue sur opposition. Cette disposition instaure une exception à l'art. 26 al. 1 CPC, qui prohibe les conclusions, les allégations de faits et les preuves nouvelles dans le cadre d'un recours (cf. art. 326 al. 2 CPC).</w:t>
      </w:r>
    </w:p>
    <w:p>
      <w:r>
        <w:t>Les faits nouveaux, qui selon l'art. 278 al. 3 LP, peuvent être invoqués devant l'instance de recours, comprennent autant les pseudo nova que les vrais nova, les pseudo nova désignant les faits et moyens de preuves qui existaient déjà avant la décision sur opposition. Pour ce qui est des conditions auxquelles ceux-ci peuvent être introduits en procédure de recours, il faut appliquer par analogie les règles prévues par l'art. 317 al. 1 CPC (ATF 145 III 324 consid. 6.6 et 6.2). La partie qui entend se prévaloir de pseudo nova doit ainsi démontrer n'avoir pas pu le faire avant la procédure de recours bien qu'elle ait fait preuve de la diligence requise (ATF 144 III 349 consid. 4.2.1).</w:t>
      </w:r>
    </w:p>
    <w:p>
      <w:r>
        <w:rPr>
          <w:b/>
        </w:rPr>
        <w:t>E. 3.2</w:t>
      </w:r>
    </w:p>
    <w:p>
      <w:r>
        <w:t>En l'occurrence, les pièces nouvelles n° 38 à 40 produites par les recourantes sont largement antérieures à la date à laquelle le premier juge a gardé la cause à</w:t>
      </w:r>
    </w:p>
    <w:p>
      <w:r>
        <w:t>- 12/20 -</w:t>
      </w:r>
    </w:p>
    <w:p>
      <w:r>
        <w:t>C/7519/2024 juger, soit le 17 juin 2024. Les faits y afférents constituent donc de pseudo nova, en lien avec les raisons pour lesquelles B______ SA aurait proposé à l'intimée, par courriel du 18 janvier 2024, de procéder à un versement supplémentaire de 8'000'000 USD.</w:t>
      </w:r>
    </w:p>
    <w:p>
      <w:r>
        <w:t>Les recourantes pouvaient se prévaloir de ces faits devant le premier juge en faisant preuve de la diligence requise. En effet, contrairement à ce qu'elles soutiennent, la question des motifs justifiant ce versement supplémentaire a été expressément soulevée par l'intimée dans le cadre de son mémoire réponse de première instance (cf. p. 27).</w:t>
      </w:r>
    </w:p>
    <w:p>
      <w:r>
        <w:t>Ces pièces nouvelles et les faits y afférents sont donc irrecevables.</w:t>
      </w:r>
    </w:p>
    <w:p>
      <w:r>
        <w:rPr>
          <w:b/>
        </w:rPr>
        <w:t>E. 4</w:t>
      </w:r>
    </w:p>
    <w:p>
      <w:r>
        <w:t>Les recourantes reprochent au Tribunal d'avoir constaté les faits de façon incomplète en ne retenant pas que Q______ siégeait tant au conseil d'administration de A______ LTD qu'au sein de celui de la société mère de l'intimée, et que E______ était également président du conseil d'administration de ladite société mère. Ainsi, selon les recourantes, l'intimée ne pouvait pas ignorer les restrictions internes de A______ LTD relatives à la conclusion des contrats.</w:t>
      </w:r>
    </w:p>
    <w:p>
      <w:r>
        <w:rPr>
          <w:b/>
        </w:rPr>
        <w:t>E. 4.1</w:t>
      </w:r>
    </w:p>
    <w:p>
      <w:r>
        <w:t>Lorsqu'elle est saisie d'un recours, la Cour doit conduire son raisonnement juridique sur la base des faits retenus par le premier juge et ne peut s'en écarter que s'ils ont été établis de façon manifestement inexacte (ATF 137 I 58 consid. 4.1.2), ce qui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Encore faut- il que cette appréciation erronée porte sur des faits pertinents susceptibles d'avoir une incidence déterminante sur le sort de la cause (JEANDIN, Commentaire romand CPC, 2019, n° 5 ad art. 320 CPC).</w:t>
      </w:r>
    </w:p>
    <w:p>
      <w:r>
        <w:rPr>
          <w:b/>
        </w:rPr>
        <w:t>E. 4.2</w:t>
      </w:r>
    </w:p>
    <w:p>
      <w:r>
        <w:t>En l'occurrence, les faits litigieux ne sont pas déterminants. En effet, ils ne permettent pas encore d'imputer à l'intimée, même sous l'angle de la vraisemblance, la connaissance d'une limitation statutaire des pouvoirs de signature au sein de A______ LTD. A défaut d'autres éléments probants, les seules fonctions occupées par Q______ et E______ ne suffisent pas à retenir que ce dernier ou encore l'intimée aurait effectivement eu connaissance des directives internes de A______ LTD.</w:t>
      </w:r>
    </w:p>
    <w:p>
      <w:r>
        <w:t>Ces faits ne sont donc pas susceptibles d'influencer le sort de la cause, ce que les recourantes n'allèguent d'ailleurs pas. En effet, elles ne remettent pas en cause le raisonnement du premier juge à teneur duquel le contrat de garantie du 10 octobre</w:t>
      </w:r>
    </w:p>
    <w:p>
      <w:r>
        <w:t>- 13/20 -</w:t>
      </w:r>
    </w:p>
    <w:p>
      <w:r>
        <w:t>C/7519/2024 2023 a été valablement conclu, de sorte que l'intimée était créancière de A______ LTD en vertu de cette garantie.</w:t>
      </w:r>
    </w:p>
    <w:p>
      <w:r>
        <w:t>Aucune constatation arbitraire des faits ne sera donc retenue.</w:t>
      </w:r>
    </w:p>
    <w:p>
      <w:r>
        <w:rPr>
          <w:b/>
        </w:rPr>
        <w:t>E. 5</w:t>
      </w:r>
    </w:p>
    <w:p>
      <w:r>
        <w:t>Les recourantes font grief au Tribunal d'avoir appliqué le principe de la transparence, alors que les conditions y relatives ne seraient pas réalisées.</w:t>
      </w:r>
    </w:p>
    <w:p>
      <w:r>
        <w:t>5.1.1 Aux termes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La procédure d'opposition au séquestre (art. 278 LP) a le même objet que la procédure de séquestre, à savoir les conditions d'autorisation de celui-ci (art. 272 LP; ATF 140 III 466 consid.4.2.3; arrêt du Tribunal fédéral 5A_228/2017 du 26 juin 2017 consid. 3.1). Le juge réexamine en contradictoire la réalisation des conditions du séquestre qu'il a ordonné. L'opposant doit tenter de démontrer que son point de vue est plus vraisemblable que celui du créancier séquestrant. Le juge doit revoir sa cause dans son entier et tenir compte de la situation telle qu'elle se présente au moment de la décision sur opposition. Il s'agit d'une procédure sommaire au sens propre; elle présente les trois caractéristiques de la simple vraisemblance des faits, l'examen sommaire du droit et une décision provisoire (ATF 140 III 466 consid. 4.2.3).</w:t>
      </w:r>
    </w:p>
    <w:p>
      <w:r>
        <w:t>5.1.2 L'art. 271 al. 1 LP envisage plusieurs cas de séquestre. Il dispose notamment que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(ch. 4).</w:t>
      </w:r>
    </w:p>
    <w:p>
      <w:r>
        <w:t>Conformément à cet article, un séquestre ne peut frapper que les "biens du débiteur". Ne sont des biens du débiteur que les choses et droits qui, selon les allégations que le créancier rend vraisemblables, lui appartiennent juridiquement, et pas seulement économiquement (arrêt du Tribunal fédéral 5A_629/2011 du 26 avril 2012 consid. 5.1). Doivent donc être considérés comme biens de tiers tous ceux qui, en vertu des normes du droit civil, appartiennent à une personne physique ou morale autre que le débiteur; en principe, seule l'identité juridique est déterminante en matière d'exécution forcée (arrêts du Tribunal fédéral 5A_876/2015 du 22 avril 2016 consid. 4.2; 5A_873/2010 du 3 mai 2011 consid. 4.2.2 et 5A_654/2010 du 24 novembre 2011 consid. 7.3.1).</w:t>
      </w:r>
    </w:p>
    <w:p>
      <w:r>
        <w:t>- 14/20 -</w:t>
      </w:r>
    </w:p>
    <w:p>
      <w:r>
        <w:t>C/7519/2024</w:t>
      </w:r>
    </w:p>
    <w:p>
      <w:r>
        <w:t>5.1.3 Toutefois, dans des circonstances particulières, un tiers peut être tenu des engagements d'un débiteur avec lequel il forme une identité économique. En effet, selon le principe de la transparence ("Durchgriff"),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 violant un contrat ou en portant une atteinte illicite aux intérêts d'un tiers (art. 2 al. 2 CC; ATF 144 III 541 consid. 8.3.1).</w:t>
      </w:r>
    </w:p>
    <w:p>
      <w:r>
        <w:t>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c'est-à-dire pour en tirer un avantage injustifié (144 III 541 consid. 8.3.2; 132 III 489; arrêts du Tribunal fédéral 5A_205/2016 du</w:t>
      </w:r>
    </w:p>
    <w:p>
      <w:r>
        <w:rPr>
          <w:b/>
        </w:rPr>
        <w:t>E. 7</w:t>
      </w:r>
    </w:p>
    <w:p>
      <w:r>
        <w:t>juin 2016 consid. 7.2 et 4A_417/2011 du 30 novembre 2011 consid. 2.3).</w:t>
      </w:r>
    </w:p>
    <w:p>
      <w:r>
        <w:t>S'agissant de l'identité économique entre la personne morale et le sociétaire, elle repose sur le fait que celui-ci peut dominer celle-là et suppose un rapport de dépendance qui peut être exercé d'une quelconque manière - autorisée ou non, à long ou à court terme, fortuitement ou de manière planifiée - et qui résulte de la possession de l'actionnariat ou d'autres causes, comme des liens contractuels ou des relations familiales ou amicales (ATF 144 III 541 consid. 8.3.2; arrêts du Tribunal fédéral 5A_330/2012 du 17 juillet 2012 consid. 3.2 et 5A_498/2007 du 28 février 2008 consid. 2.2).</w:t>
      </w:r>
    </w:p>
    <w:p>
      <w:r>
        <w:t>S'agissant de l'abus de droit, il n'y a pas de définition spécifique du "Durchgriff".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(ATF 132 III 489 consid. 3.2; arrêt du Tribunal fédéral 5C_201/2001 du 20 décembre 2001 consid. 2c). On exige également une accumulation de comportements différents et extraordinaires en ce sens qu'il en résulte une machination et atteinte qualifiée d'un tiers (ATF 144 III 541 consid. 8.3.2; arrêt du Tribunal fédéral 5A_587/2007 du 28 février 2008 consid. 2.2).</w:t>
      </w:r>
    </w:p>
    <w:p>
      <w:r>
        <w:t>Pour le reste, les cas constitutifs d'abus de droit, voire les faits sur lesquels l'examen doit porter, sont difficilement généralisables. Doctrine et jurisprudence</w:t>
      </w:r>
    </w:p>
    <w:p>
      <w:r>
        <w:t>- 15/20 -</w:t>
      </w:r>
    </w:p>
    <w:p>
      <w:r>
        <w:t>C/7519/2024 procèdent par indices. Il s'agit notamment des cas où les sphères et patrimoines du sociétaire et de la personne morale sont confondus (abandon de l'indépendance de la personne morale par les sociétaires eux-mêmes), ceux où une structure appropriée de gestion et d'organisation fait défaut, ceux, très proches, où le sociétaire poursuit ses propres intérêts aux dépens de ceux de la personne morale, et celui de la sous-capitalisation mettant en danger le but de la personne morale (arrêts du Tribunal fédéral 5A_113/2018 du 12 septembre 2018 consid. 8.3.2; 5A_587/2007 précité consid. 2.2 et 5A_498/2007 précité consid. 2.2).</w:t>
      </w:r>
    </w:p>
    <w:p>
      <w:r>
        <w:t>5.1.4 On distingue la transparence directe, qui entraîne la responsabilité du sociétaire dominant, à côté de la société, pour les dettes de celle-ci, de la transparence inversée, qui entraîne la responsabilité de la société dominée, à côté du sociétaire, pour les dettes de celui-ci. En matière d'exécution forcée, il s'ensuit que, dans la poursuite de l'un, le patrimoine de l'autre peut être réalisé, dans un sens ou dans un autre (ATF 144 III 541 consid. 8.3.4).</w:t>
      </w:r>
    </w:p>
    <w:p>
      <w:r>
        <w:t>En matière de séquestre et d'action révocatoire qui peut s'ensuivre en cas de contestation relative aux biens mis sous main de justice, la majorité des affaires portées devant le Tribunal fédéral concerne des cas de transparence inversée, où le créancier plaide que les biens séquestrés auprès de la personne morale doivent être réalisés dans la poursuite dirigée contre la personne physique avec laquelle il existe une identité économique. On ne trouve que de rares cas d'application du principe de la transparence directe (cf. arrêts du Tribunal fédéral 5A_876/2015 du 22 avril 2016 consid. 4 [action en contestation de la revendication]; 5A_739/2012 du 17 mai 2013 consid. 7, in SJ 2014 I p. 17; 5P.68/1996 du 12 août 1996 consid. 4a; 5P.109/1994 du 21 juillet 1994 consid. 3; arrêt du 21 février 1973 [Chambre des poursuites et des faillites du Tribunal fédéral] consid. 2 et 3, in SJ 1973 p. 369). La levée du voile social n'a du reste été confirmée que dans le premier des cas cités. Il faut en conclure que, dans un tel cas de figure, l'application du principe de la transparence doit être admise avec retenue parce que le créancier qui conclut librement un contrat avec une personne morale sait, en principe, qu'elle court le risque de son insolvabilité à défaut de garanties fournies par la personne physique et que, en mettant en poursuite la personne morale, il reconnaît lui-même l'existence de la personnalité de celle-ci. Il est toutefois possible d'appliquer la théorie du Durchgriff lorsque la personne physique utilise la personne morale pour éluder sciemment les obligations résultant du contrat au détriment du créancier ou que, grâce à sa position dominante, elle force la personne morale à se dessaisir de ses actifs à son profit pour les soustraire au créancier qui demanderait l'exécution du contrat (ATF 144 III 541 consid. 8.3.4).</w:t>
      </w:r>
    </w:p>
    <w:p>
      <w:r>
        <w:t>5.1.5 Il appartient au séquestrant de rendre vraisemblable que, malgré notamment la possession, l'inscription dans un registre public ou l'intitulé du compte bancaire, les biens à mettre sous mains de justice appartiennent au débiteur (ATF 126 III 95</w:t>
      </w:r>
    </w:p>
    <w:p>
      <w:r>
        <w:t>- 16/20 -</w:t>
      </w:r>
    </w:p>
    <w:p>
      <w:r>
        <w:t>C/7519/2024 consid. 4a; 107 III 33 consid. 2; arrêt du Tribunal fédéral 5A_205/2016 du 7 juin 2016 consid. 7.2).</w:t>
      </w:r>
    </w:p>
    <w:p>
      <w:r>
        <w:t>5.2.1 En l'espèce, les recourantes reprochent au premier juge d'avoir retenu une unité économique entre elles sur la base de critères étrangers à la jurisprudence topique. Selon elles, aucune des hypothèses envisagées par celle-ci n'était réalisée, dès lors que A______ LTD n'était pas la propriétaire légale des biens séquestrés, B______ SA ne détenait pas ceux-ci pour le compte de la précitée ou encore que celle-ci n'avait pas abusivement transféré lesdits biens à B______ SA.</w:t>
      </w:r>
    </w:p>
    <w:p>
      <w:r>
        <w:t>Ce raisonnement ne saurait être suivi. En effet, la jurisprudence citée sous consid. 5.1.3 supra rappelle que le principe de la transparence ne s'applique pas à des cas fixes et prédéfinis. Ce principe est fondé sur celui général de l'abus de droit et s'applique lorsque des circonstances particulières permettent notamment de retenir une unité économique entre deux sujets juridiquement distincts.</w:t>
      </w:r>
    </w:p>
    <w:p>
      <w:r>
        <w:t>A cet égard, le premier juge a retenu l'existence d'une domination économique de A______ LTD sur B______ SA, ce qui n'est pas critiquable. En effet, la première citée, qui est une holding, détient directement la seconde, selon son état financier au 30 juin 2023, ou indirectement par le biais de la société H______ SA, elle- même entièrement détenue par A______ LTD, selon le registre des actions de B______ SA au 11 avril 2024. Les recourantes semblent d'ailleurs être directement dirigées et contrôlées par F______, directeur de celles-ci, fondateur du groupe I______ dont elles font parties, ainsi qu'administrateur et actionnaire principal de A______ LTD à hauteur de 87.5%. F______ a signé le contrat de garantie litigieux au nom de A______ LTD, qui devenait garante, et a été le principal interlocuteur de l'intimée dans le cadre de l'exécution de ce contrat, aux côtés du directeur financier du groupe, J______. Aucun autre dirigeant de A______ LTD - ou même de B______ SA - n'est intervenu lors des échanges relatifs à la garantie. Il ressort, en outre, de ces échanges que F______ et J______ ont toujours utilisé des adresses électroniques comportant l'indication "@I______corp.com" ou "@I______corp.ch", soit du groupe et non de l'une des recourantes, créant ainsi une certaine opacité, en ce sens qu'il n'y pas de réelle distinction dans la structure des sociétés du groupe. B______ SA, non partie au contrat de garantie, n'avait aucune raison d'intervenir dans l'exécution de celui-ci et d'ordonner un versement en faveur de l'intimée pour le paiement partiel de la garantie le 29 décembre 2023 à hauteur de 8'000'000 USD, sauf à retenir un rapport de domination avec A______ LTD. Sur ce point, le premier juge était fondé à retenir que les allégations des recourantes, selon lesquelles B______ SA aurait donné cet ordre afin d'éteindre une dette qu'elle avait contractée auprès de D______ LLC, n'étaient pas convaincantes, ni rendues vraisemblables. En effet, la seule pièce recevable produite à l'appui de</w:t>
      </w:r>
    </w:p>
    <w:p>
      <w:r>
        <w:t>- 17/20 -</w:t>
      </w:r>
    </w:p>
    <w:p>
      <w:r>
        <w:t>C/7519/2024 cette thèse, soit le courriel de D______ LLC du 21 décembre 2023, ne suffit pas, même sous l'angle de la vraisemblance, à retenir que cet ordre du 29 décembre 2023 aurait été donné à ce titre. Par ailleurs, par courriel du 18 janvier 2024, J______ a proposé à l'intimée d'effectuer un ordre additionnel de 8'000'000 USD à titre du solde de la garantie, toujours par le biais de B______ SA, selon les allégations des recourantes, alors que la créance de B______ SA envers D______ LLC ne s'élevait qu'à 8'547'992 EUR.</w:t>
      </w:r>
    </w:p>
    <w:p>
      <w:r>
        <w:t>Par ailleurs, le fait que le courriel de D______ LLC du 21 décembre 2023 soit adressé au groupe I______ ("Dear I______ team"), et non spécifiquement à B______ SA, accrédite la thèse soutenue par l'intimée, soit une confusion entre les différentes entités du groupe et leur patrimoine.</w:t>
      </w:r>
    </w:p>
    <w:p>
      <w:r>
        <w:t>A cela s'ajoute qu'il ressort du message vocal de F______ - dont la retranscription effectuée par le Tribunal n'a pas été remise en cause - et du courriel de J______ adressés à l'intimée le 18 janvier 2024 que ces derniers considéraient les fonds à transférer le 29 décembre 2023 depuis le compte bancaire de B______ SA comme appartenant au groupe et non à celle-ci. Le fait que les représentants du groupe ne fassent aucune distinction entre les fonds des différentes entités suffit à retenir, sous l'angle de la vraisemblance, une unité économique entre celles-ci.</w:t>
      </w:r>
    </w:p>
    <w:p>
      <w:r>
        <w:t>Il est ainsi suffisamment rendu vraisemblable que B______ SA n'était qu'un simple instrument de A______ LTD, qui économiquement, ne faisait qu'un avec elle ou, à tout le moins, était dominée par elle.</w:t>
      </w:r>
    </w:p>
    <w:p>
      <w:r>
        <w:t>5.2.2 Les recourantes font grief au premier juge d'avoir méconnu le caractère exceptionnel de l'abus de droit et admis celui-ci alors que les conditions y afférentes ne seraient pas réalisées.</w:t>
      </w:r>
    </w:p>
    <w:p>
      <w:r>
        <w:t>La jurisprudence n'a toutefois pas dégagé de conditions spécifiques pour retenir un cas constitutif d'un abus de droit, précisant que de telles conditions n'étaient pas généralisables et qu'il fallait procéder par indices.</w:t>
      </w:r>
    </w:p>
    <w:p>
      <w:r>
        <w:t>Le premier juge a considéré que les recourantes invoquaient leur dualité juridique de manière abusive, ce qui n'est pas critiquable. En effet, comme relevé supra, les patrimoines des recourantes semblent confondus, ce qui ressort des échanges entre les parties du 18 janvier 2024. B______ SA a d'ailleurs donné l'ordre du versement du 29 décembre 2023, concernant le paiement partiel de la garantie, alors même qu'elle n'était pas partie au contrat y afférent. A______ LTD a ainsi utilisé les fonds de sa filiale au détriment des intérêts de celle-ci. Contrairement à ce que soutiennent les recourantes, l'indépendance juridique de B______ SA apparaît donc n'être qu'une façade.</w:t>
      </w:r>
    </w:p>
    <w:p>
      <w:r>
        <w:t>Les recourantes ne semblent pas non plus disposer chacune d'une structure appropriée favorisant une réelle indépendance et cette confusion a été entretenue,</w:t>
      </w:r>
    </w:p>
    <w:p>
      <w:r>
        <w:t>- 18/20 -</w:t>
      </w:r>
    </w:p>
    <w:p>
      <w:r>
        <w:t>C/7519/2024 à plusieurs reprises, à l'égard de l'intimée. En effet, comme déjà relevé, F______ et J______ ont été les seuls interlocuteurs de l'intimée dans le cadre de l'exécution de la garantie et ont, pour ce faire, utilisé des adresses électroniques comportant l'indication du groupe et non de l'une ou l'autre des recourantes.</w:t>
      </w:r>
    </w:p>
    <w:p>
      <w:r>
        <w:t>Compte tenu de ces éléments, en invoquant dorénavant l'indépendance juridique de B______ SA vis-à-vis de A______ LTD, ces dernières tentent de soustraire de manière abusive aux séquestres litigieux les biens détenus au nom de B______ SA et ce, au détriment des intérêts de l'intimée.</w:t>
      </w:r>
    </w:p>
    <w:p>
      <w:r>
        <w:t>5.2.3 En se fondant sur l'ATF 144 III 541 (cf. consid. 5.1.4 supra), les recourantes reprochent au premier juge de ne pas avoir tenu compte du fait que le "Durchgriff" inversé - applicable en l'espèce - devrait être admis avec plus de retenue que le "Durchgriff" direct.</w:t>
      </w:r>
    </w:p>
    <w:p>
      <w:r>
        <w:t>A la lecture de cet arrêt, il semble que le Tribunal fédéral ait considéré, au contraire, que le principe de la transparence directe devait être appliqué avec plus de retenue que celui de la transparence inversée.</w:t>
      </w:r>
    </w:p>
    <w:p>
      <w:r>
        <w:t>En tout état, l'application du principe de la transparence effectuée par le premier juge n'est pas critiquable, A______ LTD ayant vraisemblablement la mainmise sur les avoirs de B______ SA, dont l'indépendance ne semble être invoquée que pour se soustraire aux séquestres litigieux.</w:t>
      </w:r>
    </w:p>
    <w:p>
      <w:r>
        <w:t>5.2.4 Pour le surplus, les recourantes ne remettent pas en cause la réalisation des autres conditions des art. 271 al. 1 ch. 4 et 272 al. 1 LP.</w:t>
      </w:r>
    </w:p>
    <w:p>
      <w:r>
        <w:t>Infondé, le recours sera donc rejeté. 6. Les recourantes, qui succombent, seront condamnées, solidairement entre elles, aux frais judiciaires du recours (art. 106 al. 1 CPC). Ceux-ci seront arrêtés à 6'000 fr. (art. 48 et 61 al. 1 OELP) et compensés avec l'avance de même montant versée par elles, qui reste acquise à l'Etat de Genève (art. 111 al. 1 CPC).</w:t>
      </w:r>
    </w:p>
    <w:p>
      <w:r>
        <w:t>Les recourantes seront, en outre, condamnées, solidairement entre elles, à verser 10'000 fr. à l'intimée à titre de dépens du recours, débours et TVA compris (art. 84, 85, 89 et 90 RTFMC; art. 25 et 26 LaCC). * * * * *</w:t>
      </w:r>
    </w:p>
    <w:p>
      <w:r>
        <w:t>- 19/20 -</w:t>
      </w:r>
    </w:p>
    <w:p>
      <w:r>
        <w:t>C/7519/2024 PAR CES MOTIFS, La Chambre civile : A la forme : Déclare recevable le recours interjeté le 12 décembre 2024 par A______ LTD et B______ SA contre le jugement OSQ/33/2024 rendu le 27 novembre 2024 par le Tribunal de première instance dans la cause C/7519/2024-12 SQP. Au fond : Le rejette. Déboute les parties de toutes autres conclusions. Sur les frais : Arrête les frais judiciaires du recours à 6'000 fr., les met à charge de A______ LTD et B______ SA, solidairement entre elles, et les compense entièrement avec l'avance fournie par celles-ci, qui reste acquise à l'Etat de Genève. Condamne A______ LTD et B______ SA, solidairement entre elles, à verser à C______ SA 10'000 fr. à titre de dépens du recours. Siégeant : Madame Pauline ERARD, présidente; Madame Sylvie DROIN, Madame Nathalie LANDRY-BARTHE, juges; Madame Mélanie DE RESENDE PEREIRA, greffière.</w:t>
      </w:r>
    </w:p>
    <w:p>
      <w:r>
        <w:t>La présidente : Pauline ERARD</w:t>
      </w:r>
    </w:p>
    <w:p>
      <w:r>
        <w:t>La greffière : Mélanie DE RESENDE PEREIRA</w:t>
      </w:r>
    </w:p>
    <w:p>
      <w:r>
        <w:t>- 20/20 -</w:t>
      </w:r>
    </w:p>
    <w:p>
      <w:r>
        <w:t>C/7519/2024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