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ACJC/552/2024 vom 3. Mai 2024</w:t>
      </w:r>
    </w:p>
    <w:p>
      <w:r>
        <w:t>GE Cour de justice, 2024-05-03, FR</w:t>
      </w:r>
    </w:p>
    <w:p>
      <w:r>
        <w:rPr>
          <w:b/>
        </w:rPr>
        <w:t xml:space="preserve">Quelle: </w:t>
      </w:r>
      <w:r>
        <w:t>https://mcp.opencaselaw.ch/entscheid/ge_gerichte_ACJC_552_2024</w:t>
      </w:r>
    </w:p>
    <w:p>
      <w:r>
        <w:t>FR: GE_GERICHTE ACJC/552/2024 du 3 mai 2024</w:t>
      </w:r>
    </w:p>
    <w:p>
      <w:r>
        <w:t>IT: GE_GERICHTE ACJC/552/2024 del 3 maggio 2024</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w:t>
      </w:r>
    </w:p>
    <w:p>
      <w:r>
        <w:t>- 7/13 -</w:t>
      </w:r>
    </w:p>
    <w:p>
      <w:r>
        <w:t>C/14873/2023 Tribunal fédéral 5A_832/2012 consid. 1.1; ACJC/1127/2022 du 23 août 2022 consid. 1.1 et ACJC/268/2017 du 10 mars 2017 consid.1.1). En l'occurrence, le litige porte sur l'administration d'une preuve à futur et l'appelante entend faire valoir "une perte de gain de plusieurs dizaines de milliers de francs", un tort moral, ainsi qu'"un important dommage ménager". Il s'ensuit que la voie de l'appel est ouverte contre l'ordonnance entreprise. Interjeté dans les formes et dans le délai prévus par la loi (art. 130, 131, 248 let. d, et 314 al. 1 CPC), par une partie qui y a intérêt (art. 59 al. 2 let. a CPC), l'appel est recevable.</w:t>
      </w:r>
    </w:p>
    <w:p>
      <w:r>
        <w:rPr>
          <w:b/>
        </w:rPr>
        <w:t>E. 1.2</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L'appelante fait grief au Tribunal d'avoir considéré qu'elle ne dispose pas d'un "intérêt digne de protection à l'établissement d'une expertise par le biais de la preuve à futur, au motif qu['elle] serait d'ores et déjà suffisamment orientée sur les chances de succès d'un procès au fond grâce à la présence au dossier d'une «expertise extérieure», soit l'évaluation médicale réalisée le 6 décembre 2017 par la Clinique de E______ dans le cadre de l'instruction du dossier LAA". Elle réitère qu'elle sollicite une expertise portant sur le lien de causalité naturelle entre l'accident du 15 février 2017 et son état de santé actuel.</w:t>
      </w:r>
    </w:p>
    <w:p>
      <w:r>
        <w:rPr>
          <w:b/>
        </w:rPr>
        <w:t>E. 2.1</w:t>
      </w:r>
    </w:p>
    <w:p>
      <w:r>
        <w:t>L'art. 158 al. 1 CPC prévoit que le tribunal administre les preuves en tout temps dans les hypothèses alternatives suivantes : la loi en confère le droit (let. a); la preuve à administrer est mise en danger ou un intérêt digne de protection est rendu vraisemblable (let. b). Dans le deuxième cas de la lettre b - cas invoqué en l'espèce -, la preuve à futur "hors procès" est destinée à permettre au requérant de clarifier les chances de succès d'un procès futur, de façon à lui éviter de devoir introduire un procès dénué de toute chance. Il ne lui suffit pas d'alléguer avoir besoin d'éclaircir des circonstances de fait mais il doit rendre vraisemblable l'existence d'une prétention matérielle concrète contre sa partie adverse, laquelle nécessite l'administration de la preuve à futur requise (ATF 142 III 40 consid. 3.1.1; 138 III 76 consid. 2.4.2).</w:t>
      </w:r>
    </w:p>
    <w:p>
      <w:r>
        <w:t>- 8/13 -</w:t>
      </w:r>
    </w:p>
    <w:p>
      <w:r>
        <w:t>C/14873/2023 La démonstration de l'existence d'un "intérêt digne de protection" n'est pas soumise à des exigences trop sévères. Cet intérêt doit en principe uniquement être nié lorsqu'il fait manifestement défaut, ce qui peut notamment être le cas lorsque le moyen de preuve n'est clairement pas approprié (arrêt du Tribunal fédéral 5A_832/2012 du 25 janvier 2013 consid. 7.1). Tous les moyens de preuve prévus par les art. 168 ss CPC peuvent être administrés en preuve à futur hors procès, et ce conformément aux règles qui leur sont applicables. Lorsqu'il s'agit d'une expertise, les règles des art. 183 à 188 CPC s'appliquent. En particulier, le tribunal nomme un expert, préside au déroulement des opérations, instruit l'expert et lui soumet les questions soumises à expertise (art. 185 al. 1 CPC). Il donne aux parties l'occasion de s'exprimer sur ces questions et de proposer qu'elles soient modifiées ou complétées (art. 185 al. 2 CPC) et fixe à l'expert un délai pour déposer son rapport (art. 185 al. 3 CPC). Il communique ensuite celui-ci aux parties et leur offre la possibilité de demander des explications ou de poser des questions complémentaires à l'expert (art. 187 al. 4 CPC) (ATF 142 III 40 consid. 3.1.2; arrêt du Tribunal fédéral 4D_57/2020 du 24 février 2021 consid. 3.1).</w:t>
      </w:r>
    </w:p>
    <w:p>
      <w:r>
        <w:rPr>
          <w:b/>
        </w:rPr>
        <w:t>E. 2.2</w:t>
      </w:r>
    </w:p>
    <w:p>
      <w:r>
        <w:t>En droit des assurances sociales,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de la loi fédérale sur la partie générale du droit des assurances sociales du 6 octobre 2000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142 V 58 consid. 5.1 et les références ; 139 V 225 consid. 5.2 et les références;</w:t>
      </w:r>
    </w:p>
    <w:p>
      <w:r>
        <w:t>- 9/13 -</w:t>
      </w:r>
    </w:p>
    <w:p>
      <w:r>
        <w:t>C/14873/2023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arrêt ATAS/148/2024 du 6 mars 2024 de la Chambre des assurances sociales de la Cour de justice consid. 7.7). Dans la mesure où ils sont requis par la SUVA, les avis médicaux de la Clinique de réadaptation de Bellikon ne constituent pas des expertises de spécialistes indépendants, de sorte que l'art. 44 LPGA n'est pas applicable et une obligation d'accorder le droit d'être entendu ne peut pas résulter de cette disposition (ATF 136 V 117 consid. 3.4). Il en va de même des avis médicaux de la Clinique de E______, ces deux cliniques ayant été conçues par la SUVA, à teneur du site internet de cette dernière (arrêt ATAS/596/2018 du 27 juin 2018 de la Chambre des assurances sociales de la Cour de justice consid. 10).</w:t>
      </w:r>
    </w:p>
    <w:p>
      <w:r>
        <w:rPr>
          <w:b/>
        </w:rPr>
        <w:t>E. 2.3</w:t>
      </w:r>
    </w:p>
    <w:p>
      <w:r>
        <w:t>La définition du lien de causalité naturelle est identique en droit de la responsabilité civile et en droit des assurances sociales (arrêt du Tribunal fédéral 4A_65/2009 du 17 février 2010 consid. 5.1).</w:t>
      </w:r>
    </w:p>
    <w:p>
      <w:r>
        <w:rPr>
          <w:b/>
        </w:rPr>
        <w:t>E. 2.4</w:t>
      </w:r>
    </w:p>
    <w:p>
      <w:r>
        <w:t>Il n'y a pas d'intérêt digne de protection à l'administration d'une preuve à titre provisionnel lorsque la partie requérante souhaite uniquement remettre en question, par une nouvelle expertise, une expertise déjà disponible et susceptible de servir de preuve (ATF 140 III 16 consid. 2.2.2 - JdT 2016 II 299). A cet égard, le Tribunal fédéral considère que la partie qui demande l'établissement d'une expertise à titre provisionnel n'a pas d'intérêt digne de protection s'il existe déjà une expertise établie dans une autre procédure (ATF 140 III 24 consid. 3.3.1.3 – JdT 2016 II 308). Le juge civil peut utiliser, à titre de preuve, une expertise mise en oeuvre par une autre autorité dans une autre procédure (par exemple, une expertise médicale ordonnée par un assureur social). Une telle expertise "extérieure" a valeur probante dans la mesure où le juge civil respecte le droit d'être entendu des</w:t>
      </w:r>
    </w:p>
    <w:p>
      <w:r>
        <w:t>- 10/13 -</w:t>
      </w:r>
    </w:p>
    <w:p>
      <w:r>
        <w:t>C/14873/2023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qu'il en apprécie librement la force probante et reste libre d'ordonner une nouvelle expertise sur les mêmes questions si l'expertise extérieure prête le flanc à la critique (ATF 140 III 24 consid. 3.3.1.3 précité; arrêt du Tribunal fédéral 4A_410/2021 du 13 décembre 2021 consid. 3.2 et les références citées). Si l'expertise n'a pas été requise par une autre autorité dans une autre procédure, il s'agit d'une expertise privée. Celle-ci n'est pas un moyen de preuve au sens de l'art. 168 al. 1 CPC, mais doit être assimilée aux allégués de la partie qui la produit. Elle doit être prouvée si elle est contestée de manière motivée par la partie adverse. Dans la mesure où elle est corroborée par des indices qui, eux, sont établis par des preuves, elle peut constituer un moyen de preuve (ATF 141 III 433 consid. 2.6 et les références citées; arrêt du Tribunal fédéral 4A_82/2023 du 8 août 2023 consid. 4.2).</w:t>
      </w:r>
    </w:p>
    <w:p>
      <w:r>
        <w:rPr>
          <w:b/>
        </w:rPr>
        <w:t>E. 2.5</w:t>
      </w:r>
    </w:p>
    <w:p>
      <w:r>
        <w:t>En l'espèce, contrairement à ce que soutient l'intimée et à teneur du dossier, ni l'assurance invalidité, ni l'assurance-accident n'ont recouru aux services d'un ou de plusieurs experts indépendants pour élucider les faits dans le cadre d'une expertise au sens de l'art. 44 LPGA. Les divers avis médicaux produits dans la présente procédure, et en particulier l'évaluation interdisciplinaire du 6 décembre 2017 de la Clinique de E______, doivent être traités, au regard du droit de la preuve, comme de simples expertises privées, qui n'équivalent qu'à des allégations de parties. Ils n'ont pas la même force probante qu'une expertise commandée par l'assureur sur la base de la disposition précitée, qui aurait garanti le respect du droit d'être entendue de l'assurée. C'est ainsi à bon droit que l'appelante requiert une expertise judiciaire au sens des art. 183 ss CPC, qui apparaît comme un moyen de preuve pertinent et même essentiel dans l'éventuel procès en responsabilité civile. L'appelante a dès lors un intérêt digne de protection à ce que le Tribunal ordonne une expertise à titre de preuve à futur, laquelle lui permettra de clarifier ses chances de succès dans ledit procès. L'ordonnance attaquée sera donc annulée. Conformément à l'art. 318 al. 1 let. c ch. 1 CPC et au principe du double degré de juridiction (art. 75 al. 2 LTF; JEANDIN, in Commentaire romand, Code de procédure civile, 2019, n. 8 ad introduction aux art. 308-334 CPC) la cause sera renvoyée au Tribunal afin qu'il ordonne une expertise à titre de preuve à futur. Il appartiendra au premier juge de nommer un (ou des) expert(s), de présider au déroulement des opérations, d'instruire le (ou les) expert(s) et lui (leur) soumettre les questions soumises à expertise, de donner aux parties l'occasion de s'exprimer sur ces questions et de</w:t>
      </w:r>
    </w:p>
    <w:p>
      <w:r>
        <w:t>- 11/13 -</w:t>
      </w:r>
    </w:p>
    <w:p>
      <w:r>
        <w:t>C/14873/2023 proposer qu'elles soient modifiées ou complétées, de fixer à l'expert (ou aux experts) un délai pour déposer le rapport, de communiquer ensuite celui-ci aux parties et de leur offrir la possibilité de demander des explications ou de poser des questions complémentaires à l'expert (ou aux experts).</w:t>
      </w:r>
    </w:p>
    <w:p>
      <w:r>
        <w:rPr>
          <w:b/>
        </w:rPr>
        <w:t>E. 3.1</w:t>
      </w:r>
    </w:p>
    <w:p>
      <w:r>
        <w:t>Au vu de l'issue du litige, les frais judiciaires et dépens de première instance seront nouvellement arrêtés par le Tribunal dans la décision finale à rendre par celui-ci (art. 104 al. 1 CPC).</w:t>
      </w:r>
    </w:p>
    <w:p>
      <w:r>
        <w:rPr>
          <w:b/>
        </w:rPr>
        <w:t>E. 3.2</w:t>
      </w:r>
    </w:p>
    <w:p>
      <w:r>
        <w:t>Les frais d'appel seront mis à charge de l'intimée qui succombe (art. 106 al. 1 CPC). Les frais judiciaires d'appel seront arrêtés à 800 fr. (art. 26 et 37 RTFMC) et entièrement compensés avec l'avance versée par l'appelante, qui demeure acquise à l'Etat de Genève (art. 111 al. 1 CPC). L'intimée sera condamnée à verser à l'appelante 800 fr. à titre de frais judiciaires (art. 111 al. 2 CPC), ainsi que 1'000 fr., TVA et débours compris, à titre de dépens d'appel (art. 85, 88 et 90 RTFMC et art. 23 al. 1 LaCC). * * * * *</w:t>
      </w:r>
    </w:p>
    <w:p>
      <w:r>
        <w:t>- 12/13 -</w:t>
      </w:r>
    </w:p>
    <w:p>
      <w:r>
        <w:t>C/14873/2023</w:t>
      </w:r>
    </w:p>
    <w:p>
      <w:r>
        <w:t>PAR CES MOTIFS, La Chambre civile : A la forme : Déclare recevable l'appel interjeté le 22 décembre 2023 par A______ contre l'ordonnance OTPI/812/2023 rendue le 15 décembre 2023 par le Tribunal de première instance dans la cause C/14873/2023-6 SCC. Au fond : Annule l'ordonnance entreprise. Renvoie la cause au Tribunal de première instance pour qu'il ordonne une expertise à titre de preuve à futur dans les sens des considérants. Déboute les parties de toutes autres conclusions. Sur les frais : Arrête les frais judiciaires d'appel à 800 fr., les met à la charge de B______ et les compense avec l'avance effectuée, laquelle demeure acquise à l'État de Genève. Condamne B______ à verser à A______ 800 fr. à titre de frais judiciaires d'appel et 1'000 fr. à titre de dépens d'appel. Siégeant : Monsieur Laurent RIEBEN, président; Madame Fabienne GEISINGER-MARIETHOZ, Monsieur Ivo BUETTI, juges; Madame Marie-Pierre GROSJEAN, greffière.</w:t>
      </w:r>
    </w:p>
    <w:p>
      <w:r>
        <w:t>Le président : Laurent RIEBEN</w:t>
      </w:r>
    </w:p>
    <w:p>
      <w:r>
        <w:t>La greffière : Marie-Pierre GROSJEAN</w:t>
      </w:r>
    </w:p>
    <w:p>
      <w:r>
        <w:t>- 13/13 -</w:t>
      </w:r>
    </w:p>
    <w:p>
      <w:r>
        <w:t>C/14873/2023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