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ACJC/551/2023 vom 3. Mai 2023</w:t>
      </w:r>
    </w:p>
    <w:p>
      <w:r>
        <w:t>GE Cour de justice, 2023-05-03, FR</w:t>
      </w:r>
    </w:p>
    <w:p>
      <w:r>
        <w:rPr>
          <w:b/>
        </w:rPr>
        <w:t xml:space="preserve">Quelle: </w:t>
      </w:r>
      <w:r>
        <w:t>https://mcp.opencaselaw.ch/entscheid/ge_gerichte_ACJC_551_2023</w:t>
      </w:r>
    </w:p>
    <w:p>
      <w:r>
        <w:t>FR: GE_GERICHTE ACJC/551/2023 du 3 mai 2023</w:t>
      </w:r>
    </w:p>
    <w:p>
      <w:r>
        <w:t>IT: GE_GERICHTE ACJC/551/2023 del 3 maggio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w:t>
      </w:r>
    </w:p>
    <w:p>
      <w:r>
        <w:t>- 8/19 -</w:t>
      </w:r>
    </w:p>
    <w:p>
      <w:r>
        <w:t>C/9972/2022 ou dont la valeur litigieuse au dernier état des conclusions devant l'autorité inférieure est supérieure à 10'000 fr. (art. 308 al. 2 CPC). En l'espèce, le litige porte sur la jouissance de véhicules ainsi que sur la contribution due à l'entretien de l'épouse qui, capitalisée selon l'art. 92 al. 2 CPC, conduit à une valeur litigieuse supérieure à 10'000 fr., de sorte que la voie de l'appel est ouverte.</w:t>
      </w:r>
    </w:p>
    <w:p>
      <w:r>
        <w:rPr>
          <w:b/>
        </w:rPr>
        <w:t>E. 1.2</w:t>
      </w:r>
    </w:p>
    <w:p>
      <w:r>
        <w:t>Interjeté dans le délai utile de dix jours (art. 271 let. a et 314 al. 1 CPC) et selon la forme prescrite par la loi (art. 130, 131 et 311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w:t>
      </w:r>
    </w:p>
    <w:p>
      <w:r>
        <w:rPr>
          <w:b/>
        </w:rPr>
        <w:t>E. 1.4</w:t>
      </w:r>
    </w:p>
    <w:p>
      <w:r>
        <w:t>La cause est soumise à la maxime de disposition (art. 58 al. 1 CPC) et à la maxime inquisitoire limitée (art. 55 al. 2 et 272 CPC). L'obligation du juge d'établir les faits d'office ne dispense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1.5</w:t>
      </w:r>
    </w:p>
    <w:p>
      <w:r>
        <w:t>Les parties ne remettent pas en cause, avec raison, la compétence des tribunaux genevois pour connaître du litige (art. 46 LDIP), ni l'application du droit suisse (art. 48 al. 1 et 49 LDIP; art. 4 de la Convention de La Haye du 2 octobre 1973 sur la loi applicable aux obligations alimentaires [RS 0.211.213.01]), les parties étant domiciliées à Genève.</w:t>
      </w:r>
    </w:p>
    <w:p>
      <w:r>
        <w:rPr>
          <w:b/>
        </w:rPr>
        <w:t>E. 2</w:t>
      </w:r>
    </w:p>
    <w:p>
      <w:r>
        <w:t>L'intimée a déposé des pièces nouvelles en appel et allégués de nouveaux faits.</w:t>
      </w:r>
    </w:p>
    <w:p>
      <w:r>
        <w:t>- 9/19 -</w:t>
      </w:r>
    </w:p>
    <w:p>
      <w:r>
        <w:t>C/9972/2022</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2.2</w:t>
      </w:r>
    </w:p>
    <w:p>
      <w:r>
        <w:t>En l'espèce, le mémoire réplique de l'intimé du 29 septembre 2022 qui lui a été retourné le 10 octobre 2022 ne saurait davantage être admis en appel, aucune violation du droit d'être entendu ne pouvant être reprochée au Tribunal (cf. consid. 3.2 infra). L'intimée a en effet été en mesure de se déterminer sur le mémoire réponse de l'appelant lors de l'audience du 4 novembre 2022 et a également pu faire valoir ses arguments dans le cadre de son mémoire réponse à appel. Partant, cette pièce est irrecevable, de même que les allégués s'y rapportant. Le certificat d'arrêt de travail du 4 novembre 2021, le contrat de bail du 24 mai 2022 et le contrat de sous-location du 18 novembre 2019 sont antérieurs à la date à laquelle la cause a été gardée à juger par le Tribunal. L'intimée n'explique pas en quoi elle a été empêchée de produire ces documents devant le premier juge, de sorte que ces pièces sont irrecevables, de même que les allégués qui s'y rapportent. S'agissant du certificat médical du 31 janvier 2023, bien qu'établi postérieurement à la date de mise en délibération par le premier juge, l'intimée n'explique pas pour quelle raison elle n'a pas pu l'obtenir avant la clôture des débats principaux de première instance alors même qu'elle allègue souffrir de douleurs aux bras depuis</w:t>
      </w:r>
    </w:p>
    <w:p>
      <w:r>
        <w:t>- 10/19 -</w:t>
      </w:r>
    </w:p>
    <w:p>
      <w:r>
        <w:t>C/9972/2022 de nombreuses années. La pièce est ainsi irrecevable, de même que les allégués y relatifs. Pour le surplus, les pièces produites ont été émises postérieurement à la date à laquelle le Tribunal a gardé la cause à juger, soit le 4 novembre 2022, et se réfèrent à des faits survenus après cette date. Ayant été produites sans retard, elles sont donc recevables, ainsi que les faits qui s'y rapportent.</w:t>
      </w:r>
    </w:p>
    <w:p>
      <w:r>
        <w:rPr>
          <w:b/>
        </w:rPr>
        <w:t>E. 3</w:t>
      </w:r>
    </w:p>
    <w:p>
      <w:r>
        <w:t>L'intimée soulève une violation de son droit d'être entendue en tant que le Tribunal a refusé de prendre en compte son écriture de réplique du 29 septembre 2022.</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comprend ainsi le droit des parties de se déterminer sur toute argumentation présentée au tribunal par la partie adverse,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être communiquée aux parties pour leur permettre de décider si elles veulent ou non faire usage de leur faculté de se déterminer (ATF 146 III 97 consid. 3.4.1; 144 III 117 consid. 2; 139 I 189 consid. 3.2; arrêt du Tribunal fédéral 5A_964/2019 du 15 janvier 2020 consid. 3.1.3). Ce droit de réplique existe indépendamment du fait que le CPC prévoie ou non l'opportunité de prendre position sur l'argumentation de la partie adverse ou que le tribunal ordonne ou non un second échange d'écriture (ATF 146 III 97 consid. 3.4.2). Que ce soit en procédure civile ou pénale, il suffit que chaque intéressé puisse fournir ses explications ou présenter son point de vue par oral ou par écrit, en personne ou par l'intermédiaire d'un représentant, les parties n'ayant pas un droit de se déterminer par écrit plutôt que par oral (ATF 134 I 140 consid. 5.3; 130 II 425 consid. 2.1; 125 I 113 consid. 2a p. 115; arrêt du Tribunal fédéral 5A_126/2018 du 14 septembre 2018 consid. 6; 6B_14/2012 du 15 septembre 2012 consid. 3.3). La violation du droit d'être entendu entraîne l'annulation de la décision attaquée, indépendamment des chances de succès du recours sur le fond (ATF 137 I 195 consid. 2.2; 135 I 279 consid. 2.6.1). Ce vice est considéré comme réparé lorsque</w:t>
      </w:r>
    </w:p>
    <w:p>
      <w:r>
        <w:t>- 11/19 -</w:t>
      </w:r>
    </w:p>
    <w:p>
      <w:r>
        <w:t>C/9972/2022 l'intéressé jouit de la possibilité de s'exprimer librement devant une autorité de recours disposant du même pouvoir d'examen que l'autorité précédente (ATF 133 I 201 consid. 2.2; 129 I 129 consid. 2.2.3; arrêt du Tribunal fédéral 5A_925/2015 du 4 mars 2016 consid. 2.3.3.2 non publié in ATF 142 III 195).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Le recourant qui se contente de dénoncer une violation de son droit d'être entendu sans contester le fond de la décision n'a pas d'intérêt à procéder, de sorte que son acte est irrecevable (arrêt du Tribunal fédéral 4A_141/2016 du 26 mai 2016 consid. 1.2).</w:t>
      </w:r>
    </w:p>
    <w:p>
      <w:r>
        <w:rPr>
          <w:b/>
        </w:rPr>
        <w:t>E. 3.2</w:t>
      </w:r>
    </w:p>
    <w:p>
      <w:r>
        <w:t>En l'espèce, l'intimée a conclu à la confirmation du jugement querellé de sorte qu'elle ne paraît pas avoir d'intérêt à ce que la question d'une éventuelle violation de son droit d'être entendue soit tranchée, puisque, même si le grief était admis, cela n'aurait aucune influence sur sa situation. En tout état de cause, le grief de violation du droit d'être entendu est infondé. En effet, bien qu'il ressorte de la procédure que le Tribunal a choisi la procédure écrite – choix qui relève exclusivement du juge (cf. art. 253 CPC) – puisqu'il a donné à l'appelant l'occasion de répondre par écrit à la requête de l'intimée, il a refusé la réplique spontanée de celle-ci indiquant qu'elle pourrait se déterminer oralement sur la réponse de l'appelant lors de l'audience de plaidoiries finales du</w:t>
      </w:r>
    </w:p>
    <w:p>
      <w:r>
        <w:rPr>
          <w:b/>
        </w:rPr>
        <w:t>E. 4</w:t>
      </w:r>
    </w:p>
    <w:p>
      <w:r>
        <w:t>L'appelant reproche au Tribunal d'avoir attribué l'usage de l'un de ses deux véhicules à l'intimée. Faute de vie commune durant le mariage, aucun avantage de leur union ne pouvait perdurer après la séparation judiciaire. Il avait lui-même, besoin des deux véhicules de manière égale pour son activité de bénévole et pour se rendre à ses rendez-vous médicaux alors que son épouse n'en avait besoin que pour faire des courses, se rendre à l'église et véhiculer parfois sa fille et sa petite- fille. Subsidiairement, il fait grief au premier juge d'avoir attribué à l'intimée la</w:t>
      </w:r>
    </w:p>
    <w:p>
      <w:r>
        <w:t>- 12/19 -</w:t>
      </w:r>
    </w:p>
    <w:p>
      <w:r>
        <w:t>C/9972/2022 jouissance exclusive de la voiture de marque E______ alors que lui-même en a une plus grande utilité que la voiture de marque D______.</w:t>
      </w:r>
    </w:p>
    <w:p>
      <w:r>
        <w:rPr>
          <w:b/>
        </w:rPr>
        <w:t>E. 4.1</w:t>
      </w:r>
    </w:p>
    <w:p>
      <w:r>
        <w:t>Selon l'art. 176 al. 1 ch. 2 CC, à la requête de l'un des conjoints et si la suspension de la vie commune est fondée, le juge prend les mesures en ce qui concerne le mobilier de ménage. Une voiture peut faire partie du mobilier (ATF 114 II 18 consid. 4; arrêt du Tribunal fédéral 5P.179/2002 du 1er juillet 2002 consid. 3.1; ACJC/88/2023 du 24 janvier 2023 consid. 7.1). Il attribue provisoirement le mobilier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5A_291/2013 du 27 janvier 2014 consid. 5.3).</w:t>
      </w:r>
    </w:p>
    <w:p>
      <w:r>
        <w:rPr>
          <w:b/>
        </w:rPr>
        <w:t>E. 4.2</w:t>
      </w:r>
    </w:p>
    <w:p>
      <w:r>
        <w:t>En l'espèce, l'appelant ne conteste pas que l'intimée utilisait un des deux véhicules lui appartenant durant le mariage, ce même si les époux n'habitaient pas sous le même toit. Qu'il s'agisse "d'un échange de bons procédés" ou "d'un comportement propre à des époux" importe peu. La présente procédure n'a pas pour but de déterminer si le mariage était fictif, étant précisé que l'appelant n'a pas conclu à l'annulation du mariage pour cette raison et qu'il n'est même pas à l'origine de la présente procédure de séparation. L'appelant allègue de plus lui- même avoir un lien particulier avec les petits-enfants de l'intimée, ceux-ci le considérant comme leur grand-père, de sorte qu'il apparaît vraisemblable que les parties ont formé une réelle communauté conjugale et familiale. Par ailleurs, le Tribunal a retenu que l'appelant ne faisait valoir aucun motif valable justifiant qu'il conserve l'usage des deux véhicules, les éléments invoqués relevant de la pure convenance personnelle et apparaissant chicaniers. Il se justifiait donc d'attribuer l'un des deux véhicules à l'intimée. Ce raisonnement ne prête pas le flanc à la critique. En effet, force est de constater que les deux parties ont l'utilité d'un véhicule, l'un, pour son activité de bénévole pour le football et pour se rendre à ses rendez-vous médicaux et l'autre, pour faire ses courses hebdomadaires et aider sa fille et sa petite-fille. Les explications de l'appelant sur son usage équivalent des deux véhicules, alors qu'il n'est même plus détenteur d'un permis de conduire, ne sont pas convaincantes. A la lumière des éléments qui précèdent, c'est à juste titre que la jouissance exclusive d'un des deux véhicules a été attribuée à l'intimée. S'agissant du choix parmi les deux véhicules, le raisonnement du Tribunal est également exempt de toute critique. En effet, dans la mesure où l'appelant est parfois amené à transporter du matériel de sport, il est conforme à la loi de lui attribuer la jouissance exclusive du véhicule le plus grand, soit celui de la marque D______. L'argument de l'appelant selon lequel le véhicule de marque E______</w:t>
      </w:r>
    </w:p>
    <w:p>
      <w:r>
        <w:t>- 13/19 -</w:t>
      </w:r>
    </w:p>
    <w:p>
      <w:r>
        <w:t>C/9972/2022 serait plus maniable pour lui tombe à faux puisqu'il n'est plus détenteur du permis de conduire. La pesée des intérêts à laquelle a procédé le Tribunal est ainsi fondée sur des éléments objectifs et pertinents et doit être approuvée. Partant, les chiffres 3 et 4 du dispositif du jugement entrepris seront confirmés.</w:t>
      </w:r>
    </w:p>
    <w:p>
      <w:r>
        <w:rPr>
          <w:b/>
        </w:rPr>
        <w:t>E. 5</w:t>
      </w:r>
    </w:p>
    <w:p>
      <w:r>
        <w:t>L'appelant conteste devoir une contribution d'entretien à son épouse, faisant valoir qu'il n'a pas formé une communauté matrimoniale avec elle, de sorte qu'elle ne peut prétendre à un entretien. En outre, le Tribunal avait sous-évalué ses charges et surévalué celles de l'intimée. Il aurait dû imputer à l'intimée un revenu hypothétique pour une activité à temps plein. 5.1.1 Lorsque la suspension de la vie commune est fondée, le juge fixe, à la requête de l'un des conjoints, la contribution d'entretien à verser par l'une des parties à l'autre (art. 176 al. 1 ch. 1 CC). Le point de départ de tout calcul d'entretien est ce que l'on appelle l'entretien convenable, qui se calcule, dans les relations conjugales comme dans les relations après le mariage, sur la base du dernier standard vécu en commun (en dernier lieu ATF 147 III 293 consid. 4.4).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(en dernier lieu ATF 147 III 293 consid. 4.4; arrêts du Tribunal fédéral 5A_849/2020 du 27 juin 2022 consid. 5 destiné à la publication et 5A_112/2020 du 28 mars 2022 consid. 6.2). 5.1.2 Dans trois arrêts récents (ATF 147 III 265, SJ 2021 I 3016; 147 III 293; 147 III 301),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w:t>
      </w:r>
    </w:p>
    <w:p>
      <w:r>
        <w:t>- 14/19 -</w:t>
      </w:r>
    </w:p>
    <w:p>
      <w:r>
        <w:t>C/9972/2022 notamment la répartition de la prise en charge des enfants ou des besoins particuliers (ATF 147 III 265 consid. 7, 7.3 et 8.3.2). 5.1.3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5.1.4 Dans le calcul des besoins, le minimum vital du droit des poursuites, comprend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Lorsque les moyens financiers le permettent, l'entretien convenable doit être étendu au minimum vital du droit de la famille. Les postes suivants entrent notamment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Il convient de procéder par étapes, par exemple en tenant compte d'abord des impôts de toutes les personnes intéressées, puis en ajoutant chez chaque personne les forfaits de communication et d'assurance, etc. (ATF 147 III 265 précité consid. 7.1). Les frais de véhicule ne peuvent, en principe, être pris en considération que si celui-ci est indispensable au débiteur à titre personnel ou pour l'exercice de la</w:t>
      </w:r>
    </w:p>
    <w:p>
      <w:r>
        <w:t>- 15/19 -</w:t>
      </w:r>
    </w:p>
    <w:p>
      <w:r>
        <w:t>C/9972/2022 profession, l'utilisation des transports publics ne pouvant être raisonnablement exigée de l'intéressé (arrêt du Tribunal fédéral 5A_703/2011 du 7 mars 2012 consid. 4.2). Seules les charges effectives, dont le débirentier ou le crédirentier s'acquittent réellement doivent être prises en compte (ATF 140 III 337 consid. 4.2.3; arrêt du Tribunal fédéral 5A_405/2019 du 24 février 2020 consid. 5.2). Dans tous les cas, le minimum vital du droit des poursuites du débirentier doit être préservé (ATF 147 III 265 précité consid. 7.3).</w:t>
      </w:r>
    </w:p>
    <w:p>
      <w:r>
        <w:rPr>
          <w:b/>
        </w:rPr>
        <w:t>E. 5.2</w:t>
      </w:r>
    </w:p>
    <w:p>
      <w:r>
        <w:t>En l'espèce, il convient de rappeler que la présente procédure n'a pas pour but de déterminer si les parties ont réellement fondé une communauté conjugale ou non, mais à régler les modalités de leur séparation, cas échéant en fixant une contribution d'entretien calculée sur la base du dernier train de vie des parties, celui-ci constituant la limite supérieure. La fixation d'une contribution d'entretien en faveur de l'intimée ne dépendra ainsi que de la question de savoir si celle-ci est en mesure de couvrir son dernier train de vie avec ses propres revenus, cas échéant, hypothétiques. En tout état de cause, comme relevé précédemment, il n'est pas rendu vraisemblable que le mariage des parties serait fictif. Il y a ainsi lieu de réexaminer la situation financière des parties à la lumière des griefs soulevés, des principes jurisprudentiels précités et de la méthode de calcul uniformisée pour toute la Suisse.</w:t>
      </w:r>
    </w:p>
    <w:p>
      <w:r>
        <w:rPr>
          <w:b/>
        </w:rPr>
        <w:t>E. 5.2.1</w:t>
      </w:r>
    </w:p>
    <w:p>
      <w:r>
        <w:t>S'agissant des revenus de l'appelant, ceux-ci ne sont pas contestés et totalisent 5'869 fr. 80 nets par mois.</w:t>
      </w:r>
    </w:p>
    <w:p>
      <w:r>
        <w:rPr>
          <w:b/>
        </w:rPr>
        <w:t>E. 5.2.2</w:t>
      </w:r>
    </w:p>
    <w:p>
      <w:r>
        <w:t>En ce qui concerne les revenus de l'intimée, celle-ci exerce une activité lucrative à temps partiel et perçoit, selon son relevé bancaire et les fiches de salaire produites, un revenu de 2'640 fr. nets par mois en moyenne depuis le 1er janvier 2022 et non de 2'060 fr. comme retenu par erreur par le Tribunal. Il apparaît en effet qu'elle est en mesure d'effectuer parfois quelques heures supplémentaires, ce nonobstant l'attestation de son employeur et les problèmes de santé qu'elle allègue. S'agissant de la possibilité de lui imputer un revenu hypothétique complémentaire, le Tribunal a retenu que tel ne pouvait pas être le cas compte tenu de son âge et des exigences physiques de son métier. Il pouvait, au maximum, être attendu d'elle qu'elle accomplisse une heure supplémentaire par jour, ce qui lui permettrait de maintenir des revenus similaires à ceux réalisés en 2021. La Cour constate que jusqu'à la séparation, l'intimée n'a travaillé que sur appel, en tant qu'auxiliaire et à temps partiel. L'appelant a d'ailleurs lui-même admis que</w:t>
      </w:r>
    </w:p>
    <w:p>
      <w:r>
        <w:t>- 16/19 -</w:t>
      </w:r>
    </w:p>
    <w:p>
      <w:r>
        <w:t>C/9972/2022 l'intimée le véhiculait pour ses rendez-vous et son activité de bénévole, ce qui atteste du fait qu'elle consacrait une partie de son temps à s'occuper de lui. Elle est en outre âgée de 61 ans et doit faire face à des problèmes de santé ayant nécessité récemment une intervention chirurgicale. Dans ces circonstances, il ne peut raisonnablement pas être exigée d'elle qu'elle augmente son taux d'activité, de sorte que c'est à juste titre que le Tribunal a refusé de lui imputer un revenu hypothétique complémentaire. Partant, les revenus de l'intimée retenus correspondent à ses revenus réels, à savoir 2'640 fr. nets par mois en moyenne.</w:t>
      </w:r>
    </w:p>
    <w:p>
      <w:r>
        <w:rPr>
          <w:b/>
        </w:rPr>
        <w:t>E. 5.2.3</w:t>
      </w:r>
    </w:p>
    <w:p>
      <w:r>
        <w:t>Concernant les charges de l'appelant, en particulier ses frais de transport, dans la mesure où l'attribution d'un des deux véhicules à l'intimée a été confirmée, il y a également lieu de confirmer que le loyer de la place de parking extérieure doit être déduit des charges de l'appelant pour être intégré dans les charges de l'intimée. Ceci est d'autant plus vrai que l'intimée vit dans le même quartier que l'appelant et qu'elle peut ainsi bénéficier de ladite place de parking. S'agissant des autres frais en lien avec les véhicules de l'appelant, c'est à juste titre que le Tribunal a partagé les frais d'assurance pour les véhicules et les impôts sur les véhicules. Il y a aussi lieu de tenir compte de 100 fr. par mois de frais d'essence. Ce montant ne peut en effet pas être partagé entre les parties mais sera doublé, puisque l'intimée ne véhiculera plus l'appelant. Cela étant, il apparaît qu'une erreur s'est glissée dans le calcul du Tribunal. En effet, la moitié des frais d'assurance véhicule et des impôts, ajouté à 100 fr. par mois d'essence, totalise 146 fr. 95 par mois (1/2 de [730 fr. 55 + 396 fr. 50] + 1'200 fr. / 12 mois) et non 163 fr. 50. C'est ainsi le montant de 146 fr. 95 par mois qui sera retenue au titre de frais de transport. En ce qui concerne les frais de téléphone, TV et Internet, même si la somme alléguée par l'appelant de 299 fr. 90 par mois est inférieure à la facture de téléphonie produite – laquelle comprend selon l'appelant les abonnements de son épouse et de la petite fille de celle-ci –, le montant allégué par l'appelant de 299 fr. 90 par mois apparaît excessif. Ainsi, le montant de 200 fr. par mois retenu par le Tribunal, lequel est davantage en adéquation avec les tarifs généralement appliqués, sera confirmé. Enfin, s'agissant des impôts, selon la calculette mise en ligne par l'administration fiscale cantonale (ci-après : l'AFC), en tenant compte de la contribution d'entretien fixée en faveur de l'intimée, des revenus de l'appelant et des autres déductions fiscales possibles (prime d'assurance maladie et frais médicaux), la charge fiscale de ce dernier peut être estimée, suite à la séparation des parties, à 390 fr. par mois.</w:t>
      </w:r>
    </w:p>
    <w:p>
      <w:r>
        <w:t>- 17/19 -</w:t>
      </w:r>
    </w:p>
    <w:p>
      <w:r>
        <w:t>C/9972/2022 Partant, les charges mensuelles de l'appelant s'élèvent à environ 4'065 fr. et comprennent, outre les montants précités, le montant de base OP de 1'200 fr., son loyer pour l'appartement de 1'430 fr., le loyer pour la place de parc intérieure de 130 fr., le loyer pour le dépôt secondaire (box) de 80 fr., ses frais SIG de 46 fr. 75, ses frais d'abonnement SERAFE de 23 fr. 75, ses primes d'assurance-maladie, subside déduit, de 367 fr. 35 et ses frais médicaux non couverts de 50 fr. Après couverture de ses charges, l'appelant bénéfice d'un solde disponible de l'ordre de 1'805 fr. (5'869 fr. 80 – 4'065 fr.) par mois.</w:t>
      </w:r>
    </w:p>
    <w:p>
      <w:r>
        <w:rPr>
          <w:b/>
        </w:rPr>
        <w:t>E. 5.2.4</w:t>
      </w:r>
    </w:p>
    <w:p>
      <w:r>
        <w:t>S'agissant des charges de l'intimée, en particulier de ses frais de logement, il est rendu vraisemblable qu'elle sous-loue depuis le 1er septembre 2021 un appartement loué au nom de sa fille, à la rue 3______ no. ______ à C______. Le fait que certaines pièces que l'intimée a produites aient été adressées à son nom, au domicile de sa fille, à la rue 2______ no. ______, ne permet pas de rendre vraisemblable que l'intimée serait (encore) domiciliée chez eux, étant donné qu'elle y a vraisemblablement séjourné pendant une certaine période avant de sous-louer l'appartement à la rue 3______ no. ______. De même, le fait que les factures d'électricité pour cet appartement aient été adressées au nom de la fille de l'intimée ne rend pas vraisemblable que l'intimée n'y vit pas seule. Il est en effet établi que ledit appartement est sous-loué à l'intimée par sa fille, locataire principale. Or, il n'est pas indispensable d'informer les SIG de la sous-location, le débiteur des factures émises par ces derniers demeurant le locataire principal. Par conséquent, le loyer de 1'315 fr. par mois retenu par le Tribunal sera confirmé, étant encore souligné qu'il est rendu vraisemblable que l'intimé s'en est réellement acquittée. Les frais de SIG, en 23 fr. 70, seront également confirmés compte tenu du fait qu'il a été retenu que l'intimée vit seule dans son appartement à la rue 3______ no. ______ à C______ et que, nonobstant le fait que les factures ne lui soient pas directement adressées, il ressort du relevé bancaire de l'intimée que les montants dus aux SIG ont été débités de son compte. En revanche, les frais de caution ne seront pas pris en compte puisqu'il ne ressort pas du relevé bancaire produit que l'intimée s'en acquitte réellement. L'intimée a rendu vraisemblable, compte tenu de l'opération chirurgicale qu'elle a dû subir au début de l'année 2023, que ses frais médicaux non remboursés seront supérieurs cette année et à l'avenir, par rapport à 2020, de sorte qu'il n'y a pas lieu de prendre en compte une moyenne mais de retenir le montant de 2021. Cela étant, le montant retenu par le Tribunal de 77 fr. 10 par mois est erroné. C'est dès lors un montant de 76 fr. 30 qui sera pris en compte.</w:t>
      </w:r>
    </w:p>
    <w:p>
      <w:r>
        <w:t>- 18/19 -</w:t>
      </w:r>
    </w:p>
    <w:p>
      <w:r>
        <w:t>C/9972/2022 Enfin, s'agissant des frais de transport, comme retenu plus haut (cf. consid. 4.2 et 5.2.3), l'attribution de la jouissance exclusive d'un des véhicules de l'appelant à l'intimée a été confirmée, de sorte qu'il y a lieu de tenir compte des frais y relatifs, à l'instar de l'appelant, de 146 fr. 95 par mois. Outre ce montant, le loyer pour la location de la place de parking extérieure doit être prise en compte dans les charges de l'intimée, soit 90 fr. par mois. Partant, les charges mensuelles de l'intimée s'élèvent à environ 3'410 fr. et comprennent, outre les montants précités, le montant de base OP de 1'200 fr., ses frais de téléphone de 59 fr. 90, sa prime d'assurance maladie de base, subside déduit, de 347 fr. 65 et ses impôts de 150 fr. Après couverture de ses charges, l'intimée subit un déficit de 770 fr. (2'640 fr. – 3'410 fr.) par mois, montant que l'appelant doit couvrir par une contribution d'entretien.</w:t>
      </w:r>
    </w:p>
    <w:p>
      <w:r>
        <w:rPr>
          <w:b/>
        </w:rPr>
        <w:t>E. 5.2.5</w:t>
      </w:r>
    </w:p>
    <w:p>
      <w:r>
        <w:t>L'intimée peut également prétendre à la moitié de l'excédent familial, lequel s'élève à 1'035 fr. (1'805 fr. – 770 fr.) par mois. La part de l'intimée représente ainsi 517 fr. 50 par mois.</w:t>
      </w:r>
    </w:p>
    <w:p>
      <w:r>
        <w:rPr>
          <w:b/>
        </w:rPr>
        <w:t>E. 5.2.6</w:t>
      </w:r>
    </w:p>
    <w:p>
      <w:r>
        <w:t>A la lumière des éléments qui précèdent, l'intimée peut prétendre à une contribution d'entretien totalisant 1'287 fr. 50 (770 fr. + 517 fr. 50) par mois depuis le prononcé du jugement querellé, le dies a quo n'ayant pas été contesté en soi. Compte tenu de la différence insignifiante entre la contribution d'entretien en faveur de l'intimée fixée par le Tribunal à 1'298 fr. par mois et le montant retenu au paragraphe précédent de 1'287 fr. 50 et compte tenu du fait que le premier montant n'entame pas le minimum vital de l'appelant, celui-ci sera confirmé. Le jugement querellé sera dès lors entièrement confirmé.</w:t>
      </w:r>
    </w:p>
    <w:p>
      <w:r>
        <w:rPr>
          <w:b/>
        </w:rPr>
        <w:t>E. 6.1</w:t>
      </w:r>
    </w:p>
    <w:p>
      <w:r>
        <w:t>Les frais judiciaires d'appel, comprenant les frais relatifs à la décision rendue sur effet suspensif, seront arrêtés à 1'000 fr. (art. 31 et 35 RTFMC). Ils seront mis à la charge de l'appelant qui succombe intégralement (art. 95 al. 1 let. a et al. 2, art. 104 al. 1, art. 105 al. 1, 106 al. 1 CPC) et compensés avec l'avance de frais de même montant qu'il a versée, laquelle demeure acquise à l'Etat de Genève (art. 111 al. 1 CPC).</w:t>
      </w:r>
    </w:p>
    <w:p>
      <w:r>
        <w:rPr>
          <w:b/>
        </w:rPr>
        <w:t>E. 6.2</w:t>
      </w:r>
    </w:p>
    <w:p>
      <w:r>
        <w:t>Compte tenu de la nature familiale du litige, il ne sera pas alloué de dépens d'appel (art. 95 al. 1 let. b et al. 3 et 107 al. 1 let c. CPC) * * * * *</w:t>
      </w:r>
    </w:p>
    <w:p>
      <w:r>
        <w:t>- 19/19 -</w:t>
      </w:r>
    </w:p>
    <w:p>
      <w:r>
        <w:t>C/9972/2022 PAR CES MOTIFS, La Chambre civile : A la forme : Déclare recevable l'appel interjeté par A______ le 12 décembre 2022 contre le jugement JTPI/9972/2022 rendu le 29 novembre 2022 par le Tribunal de première instance dans la cause C/9972/2022-23. Au fond : Confirme le jugement entrepris. Déboute les parties de toutes autres conclusions. Sur les frais d'appel : Arrête les frais judiciaires d'appel à 1'000 fr., les met à la charge de A______ et les compense avec l'avance de frais de même montant qu'il a versée, laquelle demeure entièrement acquise à l'Etat de Genève. Dit que chaque partie supporte ses propres dépens d'appel.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