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ACJC/550/2013 vom 2. Mai 2013</w:t>
      </w:r>
    </w:p>
    <w:p>
      <w:r>
        <w:t>GE Cour de justice, 2013-05-02, FR</w:t>
      </w:r>
    </w:p>
    <w:p>
      <w:r>
        <w:rPr>
          <w:b/>
        </w:rPr>
        <w:t xml:space="preserve">Quelle: </w:t>
      </w:r>
      <w:r>
        <w:t>https://mcp.opencaselaw.ch/entscheid/ge_gerichte_ACJC_550_2013</w:t>
      </w:r>
    </w:p>
    <w:p>
      <w:r>
        <w:t>FR: GE_GERICHTE ACJC/550/2013 du 2 mai 2013</w:t>
      </w:r>
    </w:p>
    <w:p>
      <w:r>
        <w:t>IT: GE_GERICHTE ACJC/550/2013 del 2 maggio 2013</w:t>
      </w:r>
    </w:p>
    <w:p>
      <w:pPr>
        <w:pStyle w:val="Heading2"/>
      </w:pPr>
      <w:r>
        <w:t>Erwägungen</w:t>
      </w:r>
    </w:p>
    <w:p>
      <w:r>
        <w:rPr>
          <w:b/>
        </w:rPr>
        <w:t>E. 1</w:t>
      </w:r>
    </w:p>
    <w:p>
      <w:r>
        <w:t>Le jugement porte sur les effets accessoires du divorce, dont la valeur litigieuse est supérieure à 10'000 fr. La voie de l'appel est donc ouverte (art. 308 al. 2 CPC).</w:t>
      </w:r>
    </w:p>
    <w:p>
      <w:r>
        <w:t>Interjeté, par ailleurs, dans la forme et le délai prescrit (art. 311 CPC), l'appel est recevable.</w:t>
      </w:r>
    </w:p>
    <w:p>
      <w:r>
        <w:t>La Cour dispose d'une cognition complète, l'appel pouvant être formé pour violation du droit et appréciation inexacte des faits (art. 310 CPC).</w:t>
      </w:r>
    </w:p>
    <w:p>
      <w:r>
        <w:t>Les pièces produites par les parties en appel ont déjà été soumises au premier juge; elles sont donc recevables (cf. art. 317 CPC).</w:t>
      </w:r>
    </w:p>
    <w:p>
      <w:r>
        <w:rPr>
          <w:b/>
        </w:rPr>
        <w:t>E. 2</w:t>
      </w:r>
    </w:p>
    <w:p>
      <w:r>
        <w:t>L'appelant relève que son ex-épouse a travaillé à plein temps de 1993 à 2009. Le mariage et la naissance des enfants n'ont ainsi pas eu de conséquence sur sa carrière professionnelle. Par ailleurs, pendant la durée de la séparation, elle a été économiquement indépendante, la contribution versée par l'appelant ayant servi à l'entretien des enfants. La situation financière de l'intimée s'est péjorée neuf ans après la séparation, lorsqu'elle a été licenciée et que son état de santé s'est dégradé. Ces circonstances étaient, derechef, sans lien avec le mariage. En outre, si elle devait être reconnue invalide, que ce soit totalement ou partiellement, la perte de gain serait compensée par les prestations (partielles ou totales) de l'AI, cumulées, le cas échéant, avec le revenu découlant de l'éventuelle capacité de travail résiduelle.</w:t>
      </w:r>
    </w:p>
    <w:p>
      <w:r>
        <w:rPr>
          <w:b/>
        </w:rPr>
        <w:t>E. 2.1</w:t>
      </w:r>
    </w:p>
    <w:p>
      <w:r>
        <w:t>L'intimée expose qu'elle a connu des périodes de chômage et accepté des horaires de travail très pénibles (5h à 9h et en fin de journée), afin de s'occuper des enfants. Elle avait interrompu ses études de biologie en Equateur à la demande de son ex-mari. Ses problèmes de santé avaient débuté en 2000. Elle était toujours dans l'attente d'une décision de l'assurance invalidité. Elle souffrait de dépression et d'arthrose aux mains, aux genoux ainsi que dans la colonne vertébrale. Quand bien même l'appelant respecterait son engagement de verser 850 fr. par mois à leur fils D______, ce montant ne couvrirait même pas le minimum de base OP et</w:t>
      </w:r>
    </w:p>
    <w:p>
      <w:r>
        <w:t>- 5/10 -</w:t>
      </w:r>
    </w:p>
    <w:p>
      <w:r>
        <w:t>C/27802/2011 la prime d'assurance maladie de ce dernier. Il n'y avait ainsi pas lieu d'imputer une partie du loyer de l'intimée à son fils.</w:t>
      </w:r>
    </w:p>
    <w:p>
      <w:r>
        <w:rPr>
          <w:b/>
        </w:rPr>
        <w:t>E. 2.2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Une position de confiance digne de protection créée par le mariage peut toutefois être retenue pour d'autres motifs également. Ainsi, il a été considéré que lorsque l'un des conjoints souffrait, avant le mariage déjà, de maladie ou d'invalidité, on doit admettre que les parties ont, au moins implicitement, choisi et accepté d'assumer ensemble ce destin; dans cette mesure, il doit être tenu compte de la maladie ou de l'invalidité dudit conjoint dans l'appréciation de l'influence concrète du mariage (arrêt du Tribunal fédéral 5A_767/2011 du 1er juin 2012 consid. 5.2.2-5.3 et la jurisprudence citée). Si le principe d'une contribution d'entretien post-divorce est admis, il convient de procéder en trois étapes pour en arrêter la quotité (ATF 137 III 102 consid. 4.2 et les références citées). La première de ces étapes consiste à déterminer l'entretien convenable; lorsque le divorce est prononcé après une longue séparation, à savoir une dizaine d'années, la situation de l'époux bénéficiaire durant cette période est en principe déterminante (ATF 132 III 598 consid. 9.3).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S'il n'est enfin pas possible ou</w:t>
      </w:r>
    </w:p>
    <w:p>
      <w:r>
        <w:t>- 6/10 -</w:t>
      </w:r>
    </w:p>
    <w:p>
      <w:r>
        <w:t>C/27802/2011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Les critères permettant de déterminer le montant du revenu hypothétique sont en particulier la qualification professionnelle, l'âge, l'état de santé et la situation du marché du travail (cf. ATF 128 III 4 consid. 4c/cc). Cela étant, toute incapacité de travail, même médicalement attestée, ne donne pas encore droit à une rente d'assurance-invalidité; le Tribunal fédéral a ainsi jugé qu'il n'était pas arbitraire d'admettre, sur la base de certificats médicaux, l'incapacité d'un conjoint de trouver un emploi pour des raisons de santé, même si les conditions d'obtention d'une rente d'invalidité faisaient défaut (arrêt du Tribunal fédéral 5P.423/2005 du 27 février 2006, consid. 2.2). Pour que l'on puisse tenir compte d'une telle rente sous l'angle d'un revenu hypothétique, il faut que le droit à l'obtenir soit établi, ou, à tout le moins, hautement vraisemblable (arrêt du Tribunal fédéral 5A_657/2008 du 31 juillet 2009, consid. 3.3.2.1).</w:t>
      </w:r>
    </w:p>
    <w:p>
      <w:r>
        <w:rPr>
          <w:b/>
        </w:rPr>
        <w:t>E. 2.3</w:t>
      </w:r>
    </w:p>
    <w:p>
      <w:r>
        <w:t>En l'espèce, les parties se sont séparées après 18 ans de mariage. A la suite de cette séparation, l'appelant a contribué à l'entretien de la famille à hauteur de 1'100 fr. par mois. Contrairement à ce qu'il soutient, ce montant n'a pas été fixé en tant que contribution destinée à son fils cadet, mais a été déterminé en tant que contribution à l'entretien de la famille, selon la méthode dite du minimum vital avec répartition de l'excédent de deux tiers en faveur de l'épouse. L'intimée était âgée de 39 ans au moment de la séparation et de 51 ans lors du prononcé du divorce. Elle ne dispose pas d'une formation professionnelle. Son état de santé s'est péjoré, selon le dossier AI, à compter de 2000. C'est en février 2009 qu'un épisode de dépression sévère a engendré une incapacité de travail. L'intimée souffre, en outre, d'une obésité morbide et d'arthrose aux genoux, aux mains et à la colonne vertébrale. Sa capacité de travail est, au mieux, estimée 50% par ses médecins ainsi que le service médical régional de l'AI.</w:t>
      </w:r>
    </w:p>
    <w:p>
      <w:r>
        <w:t>Compte tenu de l'âge de l'intimée, de ses problèmes de santé, du manque de formation professionnelle et de son absence du marché du travail depuis près de quatre ans, il convient de retenir que ses chances de retrouver du travail sont sérieusement compromises. Elle n'est ainsi pas en mesure de pourvoir elle-même à son entretien. L'appelant fait valoir que les problèmes de santé de l'intimée sont survenus neuf ans après la séparation des parties, de sorte que le principe de solidarité ne devrait plus s'appliquer. Or, il ressort du rapport de la Dresse E______ du 25 février 2010 que l'intimée a été suivie à la consultation des HUG des Epinettes (soit au centre</w:t>
      </w:r>
    </w:p>
    <w:p>
      <w:r>
        <w:t>- 7/10 -</w:t>
      </w:r>
    </w:p>
    <w:p>
      <w:r>
        <w:t>C/27802/2011 ambulatoire de psychiatrie) en 1999. En 2000, elle a bénéficié d'un suivi pour un premier épisode dépressif. En 2001, elle a été admise en urgence à la suite d'une tentative de suicide médicamenteuse. Enfin, son licenciement en 2009 a déclenché un nouvel épisode de dépression sévère. La fragilité de l'état de santé de l'intimée s'est ainsi déjà manifestée pendant la vie commune ainsi que juste après la séparation des parties. Certes, les problèmes de santé de l'intimée n'avaient alors pas entravé sa capacité de travail de manière durable; il n'en demeure pas moins qu'il s'agit de circonstances déjà présentes et susceptibles d'influencer la capacité de travail de l'ex-épouse. Il y a donc lieu de tenir compte des problèmes de santé de l'intimée, ce d'autant plus que l'art. 125 al. 2 ch. 4 CC fait expressément mention de l'état de santé des époux dans les critères qu'il faut prendre en considération pour déterminer si une contribution d'entretien se justifie. Par ailleurs, le dossier ne permet pas de retenir que l'octroi d'une rente d'invalidité entière serait hautement vraisemblable. En effet, les avis médicaux concluent, au mieux, à une capacité de travail résiduelle de 50%. Il ne paraît ainsi, en l'état, pas vraisemblable que l'assurance invalidité reconnaisse un taux d'invalidité allant au- delà de 50%. En outre, à supposer que l'assurance invalidité lui reconnaisse le droit à une demi-rente d'invalidité - ce qui n'est pas non plus hautement vraisemblable, compte tenu des conditions notoirement strictes auxquelles le droit à une rente invalidité est soumis -, elle ne pourrait bénéficier du maximum de la demi-rente d'invalidité de 1'170 fr. En effet, le revenu déterminant de l'intimée, d'environ 42'000 fr. selon l'extrait du compte individuel, est en-dessous du revenu donnant droit à une rente complète (84'240 fr.). Une demi-rente complète s'élèverait ainsi, pour le revenu déterminant de 42'000 fr., à environ 900 fr. par mois (cf. www.avs-ai.info; memento 4.04, état au 1er janvier 2013). Ce montant ne permettrait, à l'évidence, pas à l'intimée de couvrir ses charges incompressibles, que celles-ci soient estimées à 1'992 fr. 90 par mois, comme le fait valoir l'appelant en imputant une part du loyer de l'intimée à son fils D______, ou à 2'195 fr. 90 par mois, comme l'a retenu le Tribunal. En outre, l'avoir de prévoyance professionnelle de l'intimée se monte à environ 100'000 fr. (environ 47'500 fr. d'avoirs propres et 56'9874 fr. 60 résultant du partage des avoirs). Il n'est, derechef, pas hautement vraisemblable qu'elle remplisse les conditions pour bénéficier d'une rente partielle, d'une part. D'autre part, bien qu'il ne soit pas aisé de déterminer le montant auquel l'intimée pourrait prétendre si le droit à une demi-rente d'invalidité LPP était reconnu, il est hautement vraisemblable, au vu des modestes revenus réalisés par l'intimée - qui déterminent de manière prépondérante le montant de la rente (cf. art. 24 al. 3 LPP) - qu'une telle rente serait de peu d'importance. De telles prestations dépendent des conclusions auxquelles parviendra l'assurance invalidité. Cette procédure en est</w:t>
      </w:r>
    </w:p>
    <w:p>
      <w:r>
        <w:t>- 8/10 -</w:t>
      </w:r>
    </w:p>
    <w:p>
      <w:r>
        <w:t>C/27802/2011 encore à la phase de l'instruction avant décision. Il n'y a donc pas lieu d'attendre son issue ni la décision de prestation du second pilier, qui en dépend. Enfin, il n'est pas allégué que l'intimée aurait retiré un bénéfice de la liquidation du régime matrimonial ni qu'elle disposerait d'économies ou d'une quelconque fortune. Partant, l'intimée doit se voir reconnaître le droit à une rente post-divorce. Reste à examiner si le montant de 800 fr. par mois est adéquat. Le Tribunal a arrêté les charges incompressibles de l'appelant à 3'218 fr. 05 par mois et son salaire net moyen à 5'368 fr. 60. Ces montants ne sont pas critiqués; ils correspondent par ailleurs aux pièces produites.</w:t>
      </w:r>
    </w:p>
    <w:p>
      <w:r>
        <w:t>Pendant les douze ans de vie séparée, le train de vie de l'intimée s'est révélé modeste. Jusqu'au prononcé du divorce, ses revenus, respectivement les prestations d'assurance, de 3'500 fr. puis de 3'000 fr. environ par mois, cumulés à la contribution d'entretien de 1'100 fr. lui ont permis de couvrir ses dépenses et celles de son fils D______. Depuis octobre 2012, elle est sans ressources. Comme cela vient d'être exposé, l'intimée peut, en l'état, au mieux espérer percevoir une demi-rente d'invalidité, pouvant être estimée à 900 fr. par mois. La somme de 800 fr. allouée par le premier juge à titre de contribution à son entretien ne lui permet pas de couvrir ses charges incompressibles; elle n'est ainsi en aucun cas de nature à lui permettre d'augmenter son train de vie antérieur.</w:t>
      </w:r>
    </w:p>
    <w:p>
      <w:r>
        <w:t>Il va de soi que si l'intimée devait se voir octroyer une rente de l'assurance- invalidité supérieure à 900 fr. par mois ainsi qu'une rente du second pilier, les conditions d'une modification du jugement de divorce devraient être examinées. Il y a ainsi lieu de compléter le dispositif du jugement querellé en ce sens que l'intimée sera condamnée à communiquer à l'appelant toute décision d'octroi de prestations du premier et second pilier.</w:t>
      </w:r>
    </w:p>
    <w:p>
      <w:r>
        <w:t>Pour le surplus, l'appel est rejeté.</w:t>
      </w:r>
    </w:p>
    <w:p>
      <w:r>
        <w:rPr>
          <w:b/>
        </w:rPr>
        <w:t>E. 3</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de la présente décision sont fixés à 1'000 fr. (art. 96 CPC cum art. 30 et 35 du Règlement fixant le tarif des frais en matière civile, RTFMC - E 1 05.10). Vu la nature du litige, ils sont mis à la charge par moitié de chaque partie, qui garde à sa charge ses propres dépens. Les parties</w:t>
      </w:r>
    </w:p>
    <w:p>
      <w:r>
        <w:t>- 9/10 -</w:t>
      </w:r>
    </w:p>
    <w:p>
      <w:r>
        <w:t>C/27802/2011 étant au bénéfice de l'assistance juridique, les frais judiciaires sont provisoirement supportés par l'Etat. * * * * * PAR CES MOTIFS, La Chambre civile : A la forme : Déclare recevable l'appel interjeté par A______ contre les chiffres 3 et 4 du dispositif du jugement JTPI/15045/2012 rendu le 22 octobre 2012 par le Tribunal de première instance dans la cause C/27802/2011-19. Au fond : Complète le chiffre 3 du dispositif précité en ce sens que B______ est condamnée à communiquer à A______ toute décision d'octroi de prestation de l'assurance-invalidité et de l'assurance de prévoyance professionnelle. Confirme le jugement pour le surplus. Déboute les parties de toutes autres conclusions. Sur les frais d'appel: Arrête les frais judiciaires à 1'000 fr., les met à la charge de chacune des parties de par moitié et dit qu’ils sont provisoirement supportés par l’Etat de Genève. Dit que chaque partie supporte ses propres dépens. Siégeant : Madame Florence KRAUSKOPF, présidente; Mme Sylvie DROIN, Monsieur Blaise PAGAN, juges; Madame Nathalie DESCHAMPS, greffière.</w:t>
      </w:r>
    </w:p>
    <w:p>
      <w:r>
        <w:t>La présidente : Florence KRAUSKOPF</w:t>
      </w:r>
    </w:p>
    <w:p>
      <w:r>
        <w:t>La greffière : Nathalie DESCHAMPS</w:t>
      </w:r>
    </w:p>
    <w:p>
      <w:r>
        <w:t>- 10/10 -</w:t>
      </w:r>
    </w:p>
    <w:p>
      <w:r>
        <w:t>C/27802/2011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