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ACJC/549/2025 vom 6. Mai 2025</w:t>
      </w:r>
    </w:p>
    <w:p>
      <w:r>
        <w:t>GE Cour de justice, 2025-05-06, FR</w:t>
      </w:r>
    </w:p>
    <w:p>
      <w:r>
        <w:rPr>
          <w:b/>
        </w:rPr>
        <w:t xml:space="preserve">Quelle: </w:t>
      </w:r>
      <w:r>
        <w:t>https://mcp.opencaselaw.ch/entscheid/ge_gerichte_ACJC_549_2025</w:t>
      </w:r>
    </w:p>
    <w:p>
      <w:r>
        <w:t>FR: GE_GERICHTE ACJC/549/2025 du 6 mai 2025</w:t>
      </w:r>
    </w:p>
    <w:p>
      <w:r>
        <w:t>IT: GE_GERICHTE ACJC/549/2025 del 6 maggio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En l'espèce, le loyer annuel de l’appartement litigieux, hors charges, s'élève à 9’888 fr. La valeur litigieuse est donc supérieure à 10'000 fr. (9’888 fr. x 3 ans = 29’664 fr.), de sorte que la voie de l’appel est ouverte.</w:t>
      </w:r>
    </w:p>
    <w:p>
      <w:r>
        <w:rPr>
          <w:b/>
        </w:rPr>
        <w:t>E. 1.2</w:t>
      </w:r>
    </w:p>
    <w:p>
      <w:r>
        <w:t>L'appel a été interjeté dans le délai et suivant la forme prescrits par la loi (art. 130, 131, 138 al. 2 et 3 let. a,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L'appelant reproche au Tribunal d'avoir constaté de manière erronée ou incomplète certains faits en lien avec le motif du congé et d'avoir violé l’art. 271 CO. Il fait</w:t>
      </w:r>
    </w:p>
    <w:p>
      <w:r>
        <w:t>- 13/19 -</w:t>
      </w:r>
    </w:p>
    <w:p>
      <w:r>
        <w:t>C/6771/2021 notamment grief au Tribunal d'avoir considéré que la résiliation litigieuse n’était pas contraire aux règles de la bonne foi. Selon lui, il s’agit en réalité d’un congé économique, dont les conditions ne sont pas remplies, contrairement à ce qu’a retenu le Tribunal. A tout le moins, le Tribunal aurait dû retenir que le congé consacrait une disproportion manifeste des intérêts en présence.</w:t>
      </w:r>
    </w:p>
    <w:p>
      <w:r>
        <w:t>Les griefs développés par l'appelant relèvent en réalité de l’appréciation des faits, lesquels ont toutefois été complétés dans la mesure utile.</w:t>
      </w:r>
    </w:p>
    <w:p>
      <w:r>
        <w:rPr>
          <w:b/>
        </w:rPr>
        <w:t>E. 3.1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4A_293/2016 du 13 décembre 2016 consid. 5.2.1 et 5.2.3 non publié in ATF 143 III 15;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w:t>
      </w:r>
    </w:p>
    <w:p>
      <w:r>
        <w:t>- 14/19 -</w:t>
      </w:r>
    </w:p>
    <w:p>
      <w:r>
        <w:t>C/6771/2021 aux règles de la bonne foi au sens de l'art. 271 al. 1 CO.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 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ATF 138 III 59 consid. 2.3). La détermination du sens et de la portée du motif s'effectue conformément aux principes généraux en matière d'interprétation des manifestations de volonté (ATF 127 III 444 consid. 1a p. 445). Il ne faut donc pas s'arrêter aux expressions ou dénominations inexactes dont le bailleur a pu se servir (art. 18 al. 1 CO).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w:t>
      </w:r>
    </w:p>
    <w:p>
      <w:r>
        <w:t>- 15/19 -</w:t>
      </w:r>
    </w:p>
    <w:p>
      <w:r>
        <w:t>C/6771/2021 résiliation a été notifiée (arrêt du Tribunal fédéral 4A_198/2016 précité consid. 4.4.1). Des faits survenus ultérieurement ne sont en effet pas susceptibles d'influer a posteriori sur cette qualification : si le motif pour lequel le congé a été donné tombe par la suite, le congé ne devient pas abusif a posteriori. En revanche, des faits ultérieurs peuvent fournir un éclairage sur les intentions du bailleur au moment de la résiliation (ATF 140 III 496 consid. 4.1 ; ATF 138 III 59 consid. 2.1 in fine ; arrêt du Tribunal fédéral 4A_435/2021 du 14 février 2022 consid. 3.1.1). L'auteur de la motivation est lié par les motifs qu'il a donnés. Certes, il peut les compléter en cours de procédure, les expliciter, s'il a de bonnes raisons de le faire, par exemple pour répondre aux questions du juge ou aux arguments de sa partie adverse, mais il ne peut pas en donner d'autres (LACHAT, Le bail à loyer, 2019, p. 956). Le bailleur qui a donné plusieurs motifs de congé doit prouver la réalisation de l'un d'entre eux, au moins. S'il n'est pas abusif, cela suffit à la validation du congé (LACHAT, op. cit., p. 957).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Déterminer quel est le motif de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w:t>
      </w:r>
    </w:p>
    <w:p>
      <w:r>
        <w:rPr>
          <w:b/>
        </w:rPr>
        <w:t>E. 3.2</w:t>
      </w:r>
    </w:p>
    <w:p>
      <w:r>
        <w:t>En l’espèce, les premiers juges ont retenu que le motif du congé n’était pas contraire à la bonne foi, ce que conteste l’appelant. S’agissant dudit motif, l’intimée a tout d’abord indiqué, par courrier du 8 juin 2021, avoir « été contrainte de résilier le bail portant sur l’objet visé pour remettre celui-ci à un nouveau locataire de son choix. Monsieur A______, profitant de sa relation particulière avec un ancien administrateur de la société propriétaire, s’est arrogé un statut privilégié (loyer préférentiel, utilisation d’une place de parc sans droit, réalisation de travaux multiples au sein de son appartement aux frais de la propriétaire, entrave à la remise en location d’un appartement, etc.). Il a en outre adopté un comportement, pour le moins inadéquat, envers les locataires de l’immeuble et autres usagers ainsi que lors de</w:t>
      </w:r>
    </w:p>
    <w:p>
      <w:r>
        <w:t>- 16/19 -</w:t>
      </w:r>
    </w:p>
    <w:p>
      <w:r>
        <w:t>C/6771/2021 la relocation des appartements. La bailleresse souhaitait mettre un terme à tout privilège et rétablir quiétude ainsi qu’égalité de traitement pour ses locataires ». Elle a précisé ce motif dans son écriture du 21 octobre 2021, exposant que l’appelant avait bénéficié, à ses dépens, d’un loyer de faveur et des avantages liés à sa relation privilégiée avec C______. En particulier, il avait bénéficié d’une place de stationnement double au sous-sol de l’immeuble, mise à sa disposition gracieusement depuis la conclusion du bail et restituée à première demande en 2021, de l’usage à titre gracieux d’un appartement de 3 pièces au 6ème étage de l’immeuble litigieux, depuis le 1er mars 2018, l’appartement ayant été restitué et loué à partir du 1er mai 2021, et de travaux somptuaires exécutés dans l’appartement litigieux aux frais de la bailleresse. Elle a également allégué que l’appelant intervenait de manière inappropriée dans la gestion de l’immeuble, notamment dans le choix des locataires. Lors de son audition du 9 janvier 2024, F______, administrateur de l’intimée, a déclaré que le bail avait été résilié car les administrateurs avaient appris que le loyer était nettement inférieur aux loyers de l’immeuble et du quartier, pratiquement du simple au double. L’appelant avait utilisé un appartement gratuitement pendant une certaine période. Il s’était occupé de la location d’appartements avec C______ mais pas avec les autres administrateurs. Il avait réalisé des travaux dispendieux dans l’appartement qu’il occupait. Le bail avait été résilié pour tous ces motifs, étant précisé que le faible loyer était un motif déjà suffisant pour résilier le bail. Il sied donc d’examiner si ces motifs permettent de valider la résiliation de bail litigieuse. Il ressort de l’instruction que l’appelant a effectivement occupé un rôle dans la gestion de l’immeuble, sans rémunération, agissant comme représentant de l’un des administrateurs de l’intimée, soit C______, avec qui il entretenait une relation étroite et qui était son débiteur. A ce titre, il a bénéficié d’un loyer de faveur, d’une place de parking à titre gratuit, de travaux de rénovation dans son appartement qu’il a lui-même ordonnés et d’un pouvoir décisionnel sur les affaires courantes de l’immeuble. Il a d’ailleurs indiqué, dans le cadre d’une procédure en mainlevée l’opposant à C______ qu’il habitait dans un immeuble propriété de la société B______ SA et que les parties avaient trouvé un accord quant au paiement des loyers. Or, C______ ne disposait pas formellement du pouvoir de représenter la société propriétaire. L’appelant ne pouvait l’ignorer puisqu’il se présente comme un apporteur d’affaires qui devait donc connaître le pouvoir de représentation de la société propriétaire, a fortiori s’agissant d’une information notoire, figurant au registre du commerce. Au vu de ses déclarations, il avait par ailleurs conscience du fait que B______ SA était une personne distincte de C______. Au demeurant, la</w:t>
      </w:r>
    </w:p>
    <w:p>
      <w:r>
        <w:t>- 17/19 -</w:t>
      </w:r>
    </w:p>
    <w:p>
      <w:r>
        <w:t>C/6771/2021 convention signée par la régie, l’appelant et C______, pour régler les modalités de gestion de l’immeuble, a été signée au nom de ce dernier et non au nom de la société. Il est vrai que les états locatifs qui étaient remis à l’intimée lors des conseils d’administration pouvaient la renseigner, et cela avant la période entourant la démission de C______ et la résiliation du bail intervenue le 11 mars 2021, sur le fait que l’appelant disposait de deux places de parking à titre gratuit (cf. supra, let. C.c), sur le montant de son loyer et son évolution, sur les autres loyers pratiqués dans l’immeuble, sur la vacance de l’un des appartements du 6ème étage ou encore sur le fait que la gestion de l’immeuble avait été confiée à une régie. Ceci étant, le représentant de l’intimée a déclaré lors de son audition que si ces informations étaient partagées avec les autres administrateurs, tel n’était pas le cas des « principales, à savoir tout ce qui n’était pas normal », soit le rôle qu’a joué l’appelant dans l’immeuble. Ce faisant, l’appelant a effectivement joui d’avantages aux dépens de l’intimée. Dans ce contexte, l’intimée était en droit de mettre fin à la convention de gestion engageant l’appelant, C______ et la régie, de revoir la manière dont son immeuble serait administré à l’avenir et de mettre fin au contrat de bail d’un locataire ayant objectivement bénéficié d’avantages. De surcroît, ce locataire s’est présenté des années durant comme le représentant de C______, anciennement administrateur président de l’intimée, lequel s’était rendu coupable d’une grave infraction pénale à son encontre. Le souhait de ne plus être liée contractuellement à ce locataire apparaît légitime. Le motif du congé est réel et ne contrevient pas aux règles de la bonne foi.</w:t>
      </w:r>
    </w:p>
    <w:p>
      <w:r>
        <w:t>Par conséquent, le Tribunal n’a pas erré en validant le congé.</w:t>
      </w:r>
    </w:p>
    <w:p>
      <w:r>
        <w:rPr>
          <w:b/>
        </w:rPr>
        <w:t>E. 4</w:t>
      </w:r>
    </w:p>
    <w:p>
      <w:r>
        <w:t>L’appelant reproche enfin au Tribunal de lui avoir accordé une unique prolongation de deux ans et conclut à l’octroi d’une prolongation maximale. L’intimée, quant à elle, conclut à ce qu’aucune prolongation ne soit accordée à l’appelant.</w:t>
      </w:r>
    </w:p>
    <w:p>
      <w:r>
        <w:rPr>
          <w:b/>
        </w:rPr>
        <w:t>E. 4.1</w:t>
      </w:r>
    </w:p>
    <w:p>
      <w:r>
        <w:t>Selon l'art. 272 al. 1 CO, le locataire peut demander la prolongation d'un bail de durée déterminée ou indéterminée lorsque la fin du contrat aurait pour lui ou sa famille des conséquences pénibles sans que les intérêts du bailleur le justifient. Le juge doit procéder à une pesée des intérêts en présence, en prenant en considération notamment les critères énumérés à l'al. 2 de cette disposition. Lorsqu'il s'agit d'un logement, la durée maximale de la prolongation est de quatre ans; dans cette limite, le juge peut accorder une ou deux prolongations (art. 272b al. 1 CO). Le juge apprécie librement, selon les règles du droit et de l'équité (art. 4 CC), s'il y a lieu de prolonger le bail et, dans l'affirmative, pour quelle durée.</w:t>
      </w:r>
    </w:p>
    <w:p>
      <w:r>
        <w:t>- 18/19 -</w:t>
      </w:r>
    </w:p>
    <w:p>
      <w:r>
        <w:t>C/6771/2021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la durée du bail, la situation personnelle et financière de chaque partie, leur comportement, de même que la situation sur le marché locatif local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102 II 254, JT 1977 I 558).</w:t>
      </w:r>
    </w:p>
    <w:p>
      <w:r>
        <w:rPr>
          <w:b/>
        </w:rPr>
        <w:t>E. 4.2</w:t>
      </w:r>
    </w:p>
    <w:p>
      <w:r>
        <w:t>En l'espèce, le Tribunal a octroyé à l’appelant une prolongation de bail de deux ans. Il s’est fondé pour ceci sur l’absence de démarche pour se reloger. Il a également considéré que sa situation médicale ne justifiait pas en soi une prolongation, sa santé allant s’aggravant, de sorte qu’une prolongation ne permettait pas d’alléger la pénibilité du déménagement. En plus de ces éléments, il a tenu compte de la situation de pénurie à Genève, de la durée du bail et de la situation personnelle et financière du locataire. L’appelant conteste l’appréciation du Tribunal du fait de la longue durée du bail, de son état de santé et de l’absence d’urgence pour l’intimée de récupérer son bien. Or, comme vu supra, ces éléments ont été pris en considération par le Tribunal et, en vertu du pouvoir d’appréciation dont elle dispose, la Cour conclut avec le Tribunal qu’une prolongation de deux ans apparaît appropriée eu égard à l’ensemble des circonstances du cas d’espèce. En tout état, l'appelant a bénéficié, du fait de la procédure, d'une prolongation de plus de deux ans.</w:t>
      </w:r>
    </w:p>
    <w:p>
      <w:r>
        <w:rPr>
          <w:b/>
        </w:rPr>
        <w:t>E. 5</w:t>
      </w:r>
    </w:p>
    <w:p>
      <w:r>
        <w:t>Au vu des considérations qui précèdent, le jugement attaqué sera confirmé en tous points.</w:t>
      </w:r>
    </w:p>
    <w:p>
      <w:r>
        <w:rPr>
          <w:b/>
        </w:rPr>
        <w:t>E. 6</w:t>
      </w:r>
    </w:p>
    <w:p>
      <w:r>
        <w:t>A teneur de l'art. 22 al. 1 LaCC, il n'est pas prélevé de frais dans les causes soumises à la juridiction des baux et loyers (ATF 139 III 182 consid. 2.6). * * * * *</w:t>
      </w:r>
    </w:p>
    <w:p>
      <w:r>
        <w:t>- 19/19 -</w:t>
      </w:r>
    </w:p>
    <w:p>
      <w:r>
        <w:t>C/6771/2021</w:t>
      </w:r>
    </w:p>
    <w:p>
      <w:r>
        <w:t>PAR CES MOTIFS, La Chambre des baux et loyers :</w:t>
      </w:r>
    </w:p>
    <w:p>
      <w:r>
        <w:t>A la forme : Déclare recevable l'appel interjeté le 1er juillet 2024 par A______ contre le jugement JTBL/566/2024 rendu le 24 mai 2024 par le Tribunal des baux et loyers dans la cause C/6771/2021. Au fond : Confirme le jugement querellé. Dit que la procédure est gratuite. Déboute les parties de toutes autres conclusions. Siégeant : Monsieur Ivo BUETTI, président; Madame Pauline ERARD et Madame Fabienne GEISINGER-MARIETHOZ, juges; Madame Nevena PULJIC et Monsieur Damien TOURNAIRE,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