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ACJC/549/2019 vom 13. Dezember 2018</w:t>
      </w:r>
    </w:p>
    <w:p>
      <w:r>
        <w:t>GE Cour de justice, 2018-12-13, FR</w:t>
      </w:r>
    </w:p>
    <w:p>
      <w:r>
        <w:rPr>
          <w:b/>
        </w:rPr>
        <w:t xml:space="preserve">Quelle: </w:t>
      </w:r>
      <w:r>
        <w:t>https://mcp.opencaselaw.ch/entscheid/ge_gerichte_ACJC_549_2019</w:t>
      </w:r>
    </w:p>
    <w:p>
      <w:r>
        <w:t>FR: GE_GERICHTE ACJC/549/2019 du 13 décembre 2018</w:t>
      </w:r>
    </w:p>
    <w:p>
      <w:r>
        <w:t>IT: GE_GERICHTE ACJC/549/2019 del 13 dicembre 2018</w:t>
      </w:r>
    </w:p>
    <w:p>
      <w:pPr>
        <w:pStyle w:val="Heading2"/>
      </w:pPr>
      <w:r>
        <w:t>Erwägungen</w:t>
      </w:r>
    </w:p>
    <w:p>
      <w:r>
        <w:rPr>
          <w:b/>
        </w:rPr>
        <w:t>E. 1.1</w:t>
      </w:r>
    </w:p>
    <w:p>
      <w:r>
        <w:t>S'agissant d'une procédure de faillite, seule la voie du recours est ouverte (art. 309 let. b ch. 7 et 319 let. a CPC; art. 174 al. 1 LP).</w:t>
      </w:r>
    </w:p>
    <w:p>
      <w:r>
        <w:rPr>
          <w:b/>
        </w:rPr>
        <w:t>E. 1.2</w:t>
      </w:r>
    </w:p>
    <w:p>
      <w:r>
        <w:t>Formé selon la forme et dans le délai prévus par la loi (art. 321 al. 1 et 2 CPC; art. 174 al. 1 LP), le recours est recevable.</w:t>
      </w:r>
    </w:p>
    <w:p>
      <w:r>
        <w:rPr>
          <w:b/>
        </w:rPr>
        <w:t>E. 1.3</w:t>
      </w:r>
    </w:p>
    <w:p>
      <w:r>
        <w:t>Selon l'art. 320 CPC, le recours est recevable pour violation du droit (let. a) et constatation manifestement inexacte des faits (let. b).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w:t>
      </w:r>
    </w:p>
    <w:p>
      <w:r>
        <w:t>- 3/5 -</w:t>
      </w:r>
    </w:p>
    <w:p>
      <w:r>
        <w:t>C/23460/2018 constatations insoutenables (ATF 143 IV 500 consid. 1.1; 140 III 264 consid. 2.3 et les références citées).</w:t>
      </w:r>
    </w:p>
    <w:p>
      <w:r>
        <w:rPr>
          <w:b/>
        </w:rPr>
        <w:t>E. 2</w:t>
      </w:r>
    </w:p>
    <w:p>
      <w:r>
        <w:t>La recourante invoque que la société a été dissoute, mais qu'elle n'a pas été radiée du registre du commerce, contrairement à ce qu'a retenu le Tribunal. Il ressort en effet du registre du commerce que l'intimée n'a pas été radiée, contrairement à ce que le Tribunal a retenu de manière manifestement inexacte. Elle a uniquement fait l'objet d'une décision de dissolution en application de l'art. 153b ORC et l'inscription au registre du commerce a été modifiée en conséquence, la mention "en liquidation" ayant été ajoutée à sa raison sociale.</w:t>
      </w:r>
    </w:p>
    <w:p>
      <w:r>
        <w:rPr>
          <w:b/>
        </w:rPr>
        <w:t>E. 3</w:t>
      </w:r>
    </w:p>
    <w:p>
      <w:r>
        <w:t>La recourante réclame que la faillite de l'intimée soit prononcée.</w:t>
      </w:r>
    </w:p>
    <w:p>
      <w:r>
        <w:rPr>
          <w:b/>
        </w:rPr>
        <w:t>E. 3.1.1</w:t>
      </w:r>
    </w:p>
    <w:p>
      <w:r>
        <w:t>L'art. 821 CO dispose que la société à responsabilité limitée est dissoute notamment pour les autres motifs prévus par la loi (ch. 4), à savoir notamment l'art. 153b ORC (STÄUBLI, Basler Kommentar, OR II, 5ème éd., 2016, n. 12 ad art. 821a CO). Cette dernière disposition prévoit que lorsque l'entité juridique qui ne dispose plus de domicile n'obtempère pas à la sommation publiée dans la Feuille officielle suisse du commerce dans le délai imparti, l'office du registre du commerce rend une décision portant sur la dissolution s'il s'agit d'une personne morale ou d'une société de personnes.</w:t>
      </w:r>
    </w:p>
    <w:p>
      <w:r>
        <w:rPr>
          <w:b/>
        </w:rPr>
        <w:t>E. 3.1.2</w:t>
      </w:r>
    </w:p>
    <w:p>
      <w:r>
        <w:t>Les dispositions du droit de la société anonyme concernant les conséquences de la dissolution s'appliquent par analogie à la société à responsabilité limitée (art. 821 al. 1 CO). La dissolution ne signifie pas, dans un premier temps, que la société perd sa personnalité juridique ni que son inscription soit radiée du Registre du commerce. La dissolution avec liquidation n'a que pour effets la modification de l'inscription de la société au Registre du commerce afin de refléter le fait que la société est entrée en liquidation (RAYROUX, Commentaire romand CO II, 2ème éd., 2017, n. 4 ad Intro. art. 736-751 CO). Durant la liquidation, la société reste titulaire de tous ses droits de propriété matérielle et immatérielle. Tant que l'inscription n'est pas radiée au registre du commerce (art. 746 CO), elle peut introduire des actions judiciaires ou administratives ou des poursuites, comme elle peut être assignée en justice ou par- devant des autorités administratives ou faire l'objet de poursuites (RAYROUX, op. cit., n. 5 ad art. 739 CO).</w:t>
      </w:r>
    </w:p>
    <w:p>
      <w:r>
        <w:t>- 4/5 -</w:t>
      </w:r>
    </w:p>
    <w:p>
      <w:r>
        <w:t>C/23460/2018</w:t>
      </w:r>
    </w:p>
    <w:p>
      <w:r>
        <w:rPr>
          <w:b/>
        </w:rPr>
        <w:t>E. 3.1.3</w:t>
      </w:r>
    </w:p>
    <w:p>
      <w:r>
        <w:t>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arrêt du Tribunal fédéral 5A_466/2012 du 4 septembre 2012 consid. 4.1.2).</w:t>
      </w:r>
    </w:p>
    <w:p>
      <w:r>
        <w:rPr>
          <w:b/>
        </w:rPr>
        <w:t>E. 3.2</w:t>
      </w:r>
    </w:p>
    <w:p>
      <w:r>
        <w:t>L'intimée, bien que dissoute, a gardé sa personnalité juridique et elle peut faire l'objet de poursuites et être assignée en justice. Par conséquent, le Tribunal ne pouvait renoncer à tenir une audience de faillite au motif qu'elle était dissoute. Le droit d'être entendue de l'intimé a dès lors été violé.</w:t>
      </w:r>
    </w:p>
    <w:p>
      <w:r>
        <w:t>Le Tribunal ne pouvait par ailleurs considérer que la cause était devenue sans objet au motif que l'intimée avait été radiée du Registre du commerce, puisque tel n'est pas le cas.</w:t>
      </w:r>
    </w:p>
    <w:p>
      <w:r>
        <w:t>Le jugement attaqué sera dès lors annulé et la cause sera renvoyée au Tribunal pour instruction et nouvelle décision.</w:t>
      </w:r>
    </w:p>
    <w:p>
      <w:r>
        <w:rPr>
          <w:b/>
        </w:rPr>
        <w:t>E. 4</w:t>
      </w:r>
    </w:p>
    <w:p>
      <w:r>
        <w:t>Les frais judicaires seront arrêtés à 150 fr. Leur répartition sera déléguée au Tribunal (art. 104 al. 4 CPC). En l'état, l'avance fournie par la recourante est donc conservée.</w:t>
      </w:r>
    </w:p>
    <w:p>
      <w:r>
        <w:t>Il n'y a pas lieu d'allouer de dépens, la recourante n'en ayant pas requis. * * * * *</w:t>
      </w:r>
    </w:p>
    <w:p>
      <w:r>
        <w:t>- 5/5 -</w:t>
      </w:r>
    </w:p>
    <w:p>
      <w:r>
        <w:t>C/23460/2018 PAR CES MOTIFS, La Chambre civile : A la forme : Déclare recevable le recours interjeté par FONDATION A______ contre le jugement JTPI/19466/2018 rendu le 13 décembre 2018 par le Tribunal de première instance dans la cause C/23460/2018-22 SFC. Au fond : Annule ce jugement et renvoie la cause au Tribunal pour instruction et nouvelle décision. Sur les frais : Arrête les frais judicaires à 150 fr. et délègue au Tribunal leur répartition. Dit qu'il n'est pas alloué de dépens. Siégeant : Madame Fabienne GEISINGER-MARIETHOZ, présidente; Madame Pauline ERARD et Monsieur Laurent RIEBEN,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