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ACJC/549/2012 vom 23. April 2012</w:t>
      </w:r>
    </w:p>
    <w:p>
      <w:r>
        <w:t>GE Cour de justice, 2012-04-23, FR</w:t>
      </w:r>
    </w:p>
    <w:p>
      <w:r>
        <w:rPr>
          <w:b/>
        </w:rPr>
        <w:t xml:space="preserve">Quelle: </w:t>
      </w:r>
      <w:r>
        <w:t>https://mcp.opencaselaw.ch/entscheid/ge_gerichte_ACJC_549_2012</w:t>
      </w:r>
    </w:p>
    <w:p>
      <w:r>
        <w:t>FR: GE_GERICHTE ACJC/549/2012 du 23 avril 2012</w:t>
      </w:r>
    </w:p>
    <w:p>
      <w:r>
        <w:t>IT: GE_GERICHTE ACJC/549/2012 del 23 aprile 2012</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SPUHLER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4A_72/2007 du 22 août 2007 consid. 2.2).</w:t>
      </w:r>
    </w:p>
    <w:p>
      <w:r>
        <w:rPr>
          <w:b/>
        </w:rPr>
        <w:t>E. 1.2</w:t>
      </w:r>
    </w:p>
    <w:p>
      <w:r>
        <w:t>En l'espèce, la présente procédure a trait exclusivement à une demande d'éva- cuation pour fin de bail. La valeur litigieuse correspond dès lors à la somme des loyers entre le moment du dépôt de l’appel et le moment où le déguerpissement de l’appelante pourra vraisemblablement être exécuté par la force publique, soit 10'964 fr. (loyer mensuel x 9 mois). La période de neuf mois correspond à l'esti- mation suivante : trois mois de procédure devant la Cour de justice, trente jours pour recourir au Tribunal fédéral, quatre mois de procédure devant le Tribunal fédéral et cinq mois concernant le dépôt et la procédure d'exécution forcée. La voie de l'appel est ainsi ouverte.</w:t>
      </w:r>
    </w:p>
    <w:p>
      <w:r>
        <w:rPr>
          <w:b/>
        </w:rPr>
        <w:t>E. 1.3</w:t>
      </w:r>
    </w:p>
    <w:p>
      <w:r>
        <w:t>En vertu de l’art. 311 al. 1 CPC, l’appel, écrit et motivé, est introduit auprès de l’instance d’appel dans les 30 jours à compter de la notification de la décision motivée ou de la notification postérieure de la motivation.</w:t>
      </w:r>
    </w:p>
    <w:p>
      <w:r>
        <w:t>- 4/6 -</w:t>
      </w:r>
    </w:p>
    <w:p>
      <w:r>
        <w:t>C/1884/2011 Le délai n’est cependant que de 10 jours si la décision a été rendue en procédure sommaire (art. 313 al. 1 CPC), comme c’est le cas en l’espèce (art. 257 CPC). Au vu de ce qui précède, l’appel est manifestement recevable.</w:t>
      </w:r>
    </w:p>
    <w:p>
      <w:r>
        <w:rPr>
          <w:b/>
        </w:rPr>
        <w:t>E. 1.4</w:t>
      </w:r>
    </w:p>
    <w:p>
      <w:r>
        <w:t>L’appel peut être formé pour violation de la loi (art. 310 let. a CPC) ou constatation inexacte des faits (310 let. b CPC).</w:t>
      </w:r>
    </w:p>
    <w:p>
      <w:r>
        <w:rPr>
          <w:b/>
        </w:rPr>
        <w:t>E. 2</w:t>
      </w:r>
    </w:p>
    <w:p>
      <w:r>
        <w:t>Saisie d’un appel, la Cour de justice revoit la cause avec un pouvoir de cognition complet, c’est-à-dire tant en fait qu’en droit. Elle n’est nullement liée par l’appré- ciation des faits à laquelle s’est livré le juge de première instance (Nicolas JEANDIN, in Code de procédure civile commenté, art. 310, N. 6).</w:t>
      </w:r>
    </w:p>
    <w:p>
      <w:r>
        <w:rPr>
          <w:b/>
        </w:rPr>
        <w:t>E. 3</w:t>
      </w:r>
    </w:p>
    <w:p>
      <w:r>
        <w:t>En vertu de l’art. 257 al. 1 CPC, le tribunal admet l’application de la procédure sommaire lorsque les conditions suivantes sont remplies : l’état de fait n’est pas litigieux ou est susceptible d’être immédiatement prouvé (let. a) et la situation juridique est claire (let. b). L’affaire doit cependant être soumise à la maxime de disposition (art. 58 al. 1 CPC); la protection dans les cas clairs est en effet exclue lorsque la maxime d’office (art. 58 al. 2 CPC) s’applique (art. 257 al. 2 CPC). Le tribunal n’entre pas en matière sur la requête lorsque cette procédure ne peut pas être appliquée (art. 257 al. 3 CPC), en ce sens que ladite requête doit alors être déclarée irrecevable (François BOHNET, in Code de procédure civile commenté art. 257, N. 23).</w:t>
      </w:r>
    </w:p>
    <w:p>
      <w:r>
        <w:rPr>
          <w:b/>
        </w:rPr>
        <w:t>E. 4.1</w:t>
      </w:r>
    </w:p>
    <w:p>
      <w:r>
        <w:t>L’appelante soutient dans un premier moyen que la requête de son bailleur serait irrecevable, faute à celui-ci de pouvoir se prévaloir d’un intérêt digne de protection, n’étant pas encore sûr d’obtenir une autorisation de construire défi- nitive indispensable à la concrétisation de son projet, soit la construction du CEVA. En vertu de l’art. 59 al. 2 let. a CPC, le Tribunal n’entre en matière sur l’action que lorsque le demandeur ou le requérant a un intérêt digne de protection. Ainsi, celui qui fait valoir une prétention en justice doit démontrer qu’il a un inté- rêt digne de protection à voir le juge statuer sur celle-ci (François BOHNET, op. cit., art. 59, N. 89).</w:t>
      </w:r>
    </w:p>
    <w:p>
      <w:r>
        <w:rPr>
          <w:b/>
        </w:rPr>
        <w:t>E. 4.2</w:t>
      </w:r>
    </w:p>
    <w:p>
      <w:r>
        <w:t>En l’espèce, contrairement à ce que soutient l’appelante, il est tout à fait légi- time de la part de l’intimé d’agir en évacuation, quitte ensuite, le cas échéant, à ne pas solliciter immédiatement l’exécution du jugement. En effet, s’agissant d’un chantier d’envergure tel que celui du CEVA, on ne saurait exiger de l’intimé qu’il attende que le chantier soit sur le point de com- mencer pour requérir l’évacuation des locataires occupant les locaux situés sur le futur chantier, au risque sinon de retarder d’autant plus celui-ci. C’est d’autant plus vrai que l’appelante est une entreprise de taille non négligeable, dont le déménagement devra vraisemblablement être planifié plusieurs semaines à l’avance.</w:t>
      </w:r>
    </w:p>
    <w:p>
      <w:r>
        <w:t>- 5/6 -</w:t>
      </w:r>
    </w:p>
    <w:p>
      <w:r>
        <w:t>C/1884/2011 Au demeurant, s’il n’agissait pas en évacuation dans les semaines ou mois après l’échéance de la seconde prolongation, l’intimé pourrait même se voir opposer la conclusion, par son inaction, d’un bail tacite, ce qui justifie d’autant plus le dépôt de la requête objet de la présente procédure. Le premier moyen soulevé par l’appelante est en conséquence mal fondé.</w:t>
      </w:r>
    </w:p>
    <w:p>
      <w:r>
        <w:rPr>
          <w:b/>
        </w:rPr>
        <w:t>E. 5.1</w:t>
      </w:r>
    </w:p>
    <w:p>
      <w:r>
        <w:t>Dans un deuxième moyen, l’appelante soutient qu’en agissant en évacuation, sa partie adverse commettrait un abus de droit.</w:t>
      </w:r>
    </w:p>
    <w:p>
      <w:r>
        <w:rPr>
          <w:b/>
        </w:rPr>
        <w:t>E. 5.2</w:t>
      </w:r>
    </w:p>
    <w:p>
      <w:r>
        <w:t>Constitue un abus de droit au sens de l’art. 2 al. 2 CC, l’absence d'intérêt à l'exercice d'un droit, l’utilisation contraire à son but d'une institution juridique, la disproportion grossière des intérêts en présence, l’exercice d'un droit sans ména- gement, ainsi que l’adoption d’une attitude contradictoire (ATF 120 II 105 consid. 3a) et références citées).</w:t>
      </w:r>
    </w:p>
    <w:p>
      <w:r>
        <w:rPr>
          <w:b/>
        </w:rPr>
        <w:t>E. 5.3</w:t>
      </w:r>
    </w:p>
    <w:p>
      <w:r>
        <w:t>En l’espèce, rien ne permet de conclure à un abus de droit de l’intimé. C’est au contraire, comme on vient de le voir (cf. chiffre 4 ci-dessus), tout à fait légi- time de sa part d’agir en évacuation. Le deuxième moyen de l’appelante est dès lors également mal fondé.</w:t>
      </w:r>
    </w:p>
    <w:p>
      <w:r>
        <w:rPr>
          <w:b/>
        </w:rPr>
        <w:t>E. 6</w:t>
      </w:r>
    </w:p>
    <w:p>
      <w:r>
        <w:t>Contrairement à ce que soutient l’appelante dans un troisième moyen, la pro- tection pour cas clair peut être accordée à l’intimé, les conditions de l’art. 257 CPC étant remplie. L’état de fait n’est pas litigieux (art. 257 al. 1 let. a CPC) et la situation juridique est claire (art. 257 al. 1 let. b CPC). La cause est en outre sou- mise à la maxime de disposition au sens de l’art. 58 al. 1 CPC (art. 257 al. 2 CPC).</w:t>
      </w:r>
    </w:p>
    <w:p>
      <w:r>
        <w:rPr>
          <w:b/>
        </w:rPr>
        <w:t>E. 7</w:t>
      </w:r>
    </w:p>
    <w:p>
      <w:r>
        <w:t>La Cour constatera dès lors que c’est à bon droit que le Tribunal des baux et loyers a prononcé l’évacuation immédiate de l’appelante des locaux litigieux, puisque celle-ci ne les a pas restitués à l’échéance de la seconde prolongation de bail, soit au 31 décembre 2010 (art. 267 al. 1 CO).</w:t>
      </w:r>
    </w:p>
    <w:p>
      <w:r>
        <w:rPr>
          <w:b/>
        </w:rPr>
        <w:t>E. 8</w:t>
      </w:r>
    </w:p>
    <w:p>
      <w:r>
        <w:t>La procédure est gratuite, en ce sens qu’il n’est pas perçus de frais judiciaires ou de dépens (art. 17 al. 1 LaCC; art. 95 al. 1 CPC). * * * * *</w:t>
      </w:r>
    </w:p>
    <w:p>
      <w:r>
        <w:t>- 6/6 -</w:t>
      </w:r>
    </w:p>
    <w:p>
      <w:r>
        <w:t>C/1884/2011 PAR CES MOTIFS, La Chambre des baux et loyers : A la forme : Déclare recevable l'appel interjeté par A______SA contre le jugement JTBL/507/2011 du Tribunal des baux et loyers rendu le 17 mai 2011 dans la cause C/1884/2011-2-D. Au fond : Confirme ce jugement. Dit que la procédure est gratuite. Déboute les parties de toutes autres conclusions. Siégeant : Madame Nathalie LANDRY-BARTHE, présidente; Monsieur Blaise PAGAN et Madame Elena SAMPEDRO, juges; Madame Maude JAQUIERY et Monsieur Pierre STASTNY,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 cf. considérant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