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ACJC/546/2018 vom 19. April 2018</w:t>
      </w:r>
    </w:p>
    <w:p>
      <w:r>
        <w:t>GE Cour de justice, 2018-04-19, FR</w:t>
      </w:r>
    </w:p>
    <w:p>
      <w:r>
        <w:rPr>
          <w:b/>
        </w:rPr>
        <w:t xml:space="preserve">Quelle: </w:t>
      </w:r>
      <w:r>
        <w:t>https://mcp.opencaselaw.ch/entscheid/ge_gerichte_ACJC_546_2018</w:t>
      </w:r>
    </w:p>
    <w:p>
      <w:r>
        <w:t>FR: GE_GERICHTE ACJC/546/2018 du 19 avril 2018</w:t>
      </w:r>
    </w:p>
    <w:p>
      <w:r>
        <w:t>IT: GE_GERICHTE ACJC/546/2018 del 19 aprile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w:t>
      </w:r>
    </w:p>
    <w:p>
      <w:r>
        <w:rPr>
          <w:b/>
        </w:rPr>
        <w:t>E. 1.2</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la recourante le 22 février 2018. Par courrier du 1er mars 2018, cette dernière a fait usage de son droit de réplique dans un délai raisonnable, inférieur à dix jours. Ces écritures sont donc recevables.</w:t>
      </w:r>
    </w:p>
    <w:p>
      <w:r>
        <w:rPr>
          <w:b/>
        </w:rPr>
        <w:t>E. 2</w:t>
      </w:r>
    </w:p>
    <w:p>
      <w:r>
        <w:t>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2ème éd. Berne 2010, n. 2307).</w:t>
      </w:r>
    </w:p>
    <w:p>
      <w:r>
        <w:t>- 8/15 -</w:t>
      </w:r>
    </w:p>
    <w:p>
      <w:r>
        <w:t>C/14197/2017 Les maximes des débats et de disposition s'appliquent (art. 55 al. 1, 255 lit. a a contrario et 58 al. 1 CPC).</w:t>
      </w:r>
    </w:p>
    <w:p>
      <w:r>
        <w:rPr>
          <w:b/>
        </w:rPr>
        <w:t>E. 3</w:t>
      </w:r>
    </w:p>
    <w:p>
      <w:r>
        <w:t>mai 2017 consid. 3.2).</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w:t>
      </w:r>
    </w:p>
    <w:p>
      <w:r>
        <w:rPr>
          <w:b/>
        </w:rPr>
        <w:t>E. 3.2</w:t>
      </w:r>
    </w:p>
    <w:p>
      <w:r>
        <w:t>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w:t>
      </w:r>
    </w:p>
    <w:p>
      <w:r>
        <w:t>Selon la recourante,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w:t>
      </w:r>
    </w:p>
    <w:p>
      <w:r>
        <w:rPr>
          <w:b/>
        </w:rPr>
        <w:t>E. 4</w:t>
      </w:r>
    </w:p>
    <w:p>
      <w:r>
        <w:t>La recourante fait grief au Tribunal d'avoir violé son droit d'être entendue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w:t>
      </w:r>
    </w:p>
    <w:p>
      <w:r>
        <w:rPr>
          <w:b/>
        </w:rPr>
        <w:t>E. 4.1</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w:t>
      </w:r>
    </w:p>
    <w:p>
      <w:r>
        <w:t>- 9/15 -</w:t>
      </w:r>
    </w:p>
    <w:p>
      <w:r>
        <w:t>C/14197/2017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w:t>
      </w:r>
    </w:p>
    <w:p>
      <w:r>
        <w:rPr>
          <w:b/>
        </w:rPr>
        <w:t>E. 4.2</w:t>
      </w:r>
    </w:p>
    <w:p>
      <w:r>
        <w:t>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de la recourante, en retenant que l'intimée était au bénéfice de bordereaux entrés en force de chose jugée et qu'aucune objection faisant obstacle à la mainlevée n'avait été établie par titre. Il a ainsi débouté la recourante de toutes ses conclusions, tant principale que subsidiaires, liées à l'argumentation de l'insolvabilité des époux.</w:t>
      </w:r>
    </w:p>
    <w:p>
      <w:r>
        <w:t>Le jugement entrepris ne consacre ainsi aucune violation du droit d'être entendu de la recourante.</w:t>
      </w:r>
    </w:p>
    <w:p>
      <w:r>
        <w:rPr>
          <w:b/>
        </w:rPr>
        <w:t>E. 5</w:t>
      </w:r>
    </w:p>
    <w:p>
      <w:r>
        <w:t>La recourante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w:t>
      </w:r>
    </w:p>
    <w:p>
      <w:r>
        <w:t>- 10/15 -</w:t>
      </w:r>
    </w:p>
    <w:p>
      <w:r>
        <w:t>C/14197/2017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GILLIERON,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 consid. 4.1.1; arrêt du Tribunal fédéral 5P_174/2005 du 7 octobre 2005 consid. 2.1).</w:t>
      </w:r>
    </w:p>
    <w:p>
      <w:r>
        <w:t>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JdT 1944 II 58).</w:t>
      </w:r>
    </w:p>
    <w:p>
      <w:r>
        <w:t>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13 al. 1 LIFD).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w:t>
      </w:r>
    </w:p>
    <w:p>
      <w:r>
        <w:t>- 11/15 -</w:t>
      </w:r>
    </w:p>
    <w:p>
      <w:r>
        <w:t>C/14197/2017 l'insolvabilité s'est étendue sur certaines périodes sans qu'il ait pu redresser sa situation financière et amortir régulièrement ses dettes doit être considéré comme insolvable (ATA/1458/2017 du 31 octobre 2017 consid. 3a et les références citées).</w:t>
      </w:r>
    </w:p>
    <w:p>
      <w:r>
        <w:rPr>
          <w:b/>
        </w:rPr>
        <w:t>E. 5.2</w:t>
      </w:r>
    </w:p>
    <w:p>
      <w:r>
        <w:t>En l'espèce, c'est à juste titre que la recourante ne soutient plus que le juge de la mainlevée est compétent pour connaître d'une éventuelle inobservation du délai pour valider les séquestres. Cette question, dont la réponse n'est pas évidente, relève en effet de la compétence de la Chambre de surveillance. La recourante considère en revanche que le premier juge aurait dû constater l'inexistence d'un titre de mainlevée définitif, les bordereaux litigieux n'étant pas exécutoires en raison de l'insolvabilité des époux.</w:t>
      </w:r>
    </w:p>
    <w:p>
      <w:r>
        <w:t>Certes, l'insolvabilité du conjoint de la recourante pourrait constituer un moyen démontrant que les créances fondées sur les bordereaux IFD 2001 à 2005, bien qu'entrés en force de chose jugée après l'arrêt du Tribunal fédéral du 26 novembre 2016, ont depuis cessé d'exister ou d'être exigibles à son encontre. Toutefois, la recourante n'a produit aucune pièce – recevable - tendant à établir cette insolvabilité. Les courriers rédigés par son conseil en date des 4 août et 18 octobre 2017 ne suffisent pas pour admettre que les conditions d'une insolvabilité sont remplies.</w:t>
      </w:r>
    </w:p>
    <w:p>
      <w:r>
        <w:t>Le fait que l'intimée n'ait pas immédiatement réagi aux allégués de la recourante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la recourante se fonde pour invoquer l'insolvabilité, rien de pertinent n'en résulterait en l'état, ce document n'étant, selon le texte du courrier du 4 août 2017, pas traduit. On ignore au demeurant tout de son contenu, puisque la pièce n'a pas été produite. Aussi, on ne saurait admettre que l'intimée disposait déjà le 26 octobre 2017, date de réception de la réponse de la recourante,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w:t>
      </w:r>
    </w:p>
    <w:p>
      <w:r>
        <w:t>Par conséquent, c'est à juste titre que le Tribunal a considéré que les bordereaux IFD 2001 à 2005 constituaient des titres de mainlevée à l'égard de la recourante et que cette dernière n'avait pas établi, ni même rendu vraisemblable, l'existence d'un moyen libératoire.</w:t>
      </w:r>
    </w:p>
    <w:p>
      <w:r>
        <w:t>Ce grief doit donc être rejeté.</w:t>
      </w:r>
    </w:p>
    <w:p>
      <w:r>
        <w:t>- 12/15 -</w:t>
      </w:r>
    </w:p>
    <w:p>
      <w:r>
        <w:t>C/14197/2017</w:t>
      </w:r>
    </w:p>
    <w:p>
      <w:r>
        <w:rPr>
          <w:b/>
        </w:rPr>
        <w:t>E. 6</w:t>
      </w:r>
    </w:p>
    <w:p>
      <w:r>
        <w:t>Subsidiairement, la recourante invoque la suspension de la procédure jusqu'à droit définitivement jugé dans la procédure A/1______/2017 et sur réclamation introduite auprès de l'intimée le 4 août 2017.</w:t>
      </w:r>
    </w:p>
    <w:p>
      <w:r>
        <w:rPr>
          <w:b/>
        </w:rPr>
        <w:t>E. 6.1</w:t>
      </w:r>
    </w:p>
    <w:p>
      <w:r>
        <w:t>Aux termes de l'art. 126 al. 1 CPC, le tribunal peut ordonner la suspension de la procédure si des motifs d'opportunité le commandent; la procédure peut notam- 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w:t>
      </w:r>
    </w:p>
    <w:p>
      <w:r>
        <w:t>- 13/15 -</w:t>
      </w:r>
    </w:p>
    <w:p>
      <w:r>
        <w:t>C/14197/2017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6P_142/2005 du 9 février 2006 consid. 2.2; SCHMIDT, Commentaire romand, LP, 2005, n. 17 s. ad art. 80 LP).</w:t>
      </w:r>
    </w:p>
    <w:p>
      <w:r>
        <w:rPr>
          <w:b/>
        </w:rPr>
        <w:t>E. 6.2</w:t>
      </w:r>
    </w:p>
    <w:p>
      <w:r>
        <w:t>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de la recourante,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w:t>
      </w:r>
    </w:p>
    <w:p>
      <w:r>
        <w:rPr>
          <w:b/>
        </w:rPr>
        <w:t>E. 10</w:t>
      </w:r>
    </w:p>
    <w:p>
      <w:r>
        <w:t>juillet 2014, que les poursuites en validation des séquestres prononcés le 9 avril 2010 devaient être requises dans les dix jours à partir de la date de notification aux poursuivis des décisions de taxations définitives, ce qui vient faire échec à la thèse plaidée par la recourante pour soutenir la nullité de la poursuite. La recourante ne donne au demeurant aucune indication sur les biens séquestrés. Elle ne soutient pas qu'elle ne pourrait pas obtenir le remboursement du montant payé à tort dans l'hypothèse où elle obtiendrait gain de cause dans l'une des</w:t>
      </w:r>
    </w:p>
    <w:p>
      <w:r>
        <w:t>- 14/15 -</w:t>
      </w:r>
    </w:p>
    <w:p>
      <w:r>
        <w:t>C/14197/2017 procédures précitées. Au vu des éléments au dossier, on ne voit par ailleurs pas en quoi le prononcé de la mainlevée pourrait consacrer une violation de son droit d'être entendue, de son droit de propriété ou des règles fondamentales d'un procès équitable, la recourante s'étant prévalue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La recourante, qui succombe, sera condamnée aux frais du recours (art. 106 al. 1 CPC). Les frais judiciaires seront arrêtés à 3'000 fr. (art. 48 et 61 OELP). Ils seront compensés avec l'avance de même montant fournie par la recourante, qui reste acquise à l'Etat (art. 111 al. 1 CPC). L'intimée, qui n'a pas de représentant professionnel, ne sollicite pas d'indemnité pour les démarches effectuées (cf. art. 95 al. 3 let. c CPC). Il ne lui sera donc pas alloué de dépens. * * * * *</w:t>
      </w:r>
    </w:p>
    <w:p>
      <w:r>
        <w:t>- 15/15 -</w:t>
      </w:r>
    </w:p>
    <w:p>
      <w:r>
        <w:t>C/14197/2017 PAR CES MOTIFS, La Chambre civile : A la forme : Déclare recevable le recours interjeté le 13 novembre 2017 par A______ contre le jugement JTPI/13757/2017 rendu le 30 octobre 2017 par le Tribunal de première instance dans la cause C/14197/2017-22 SML. Au fond : Le rejette.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