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ACJC/545/2021 vom 10. Oktober 2017</w:t>
      </w:r>
    </w:p>
    <w:p>
      <w:r>
        <w:t>GE Cour de justice, 2017-10-10, FR</w:t>
      </w:r>
    </w:p>
    <w:p>
      <w:r>
        <w:rPr>
          <w:b/>
        </w:rPr>
        <w:t xml:space="preserve">Quelle: </w:t>
      </w:r>
      <w:r>
        <w:t>https://mcp.opencaselaw.ch/entscheid/ge_gerichte_ACJC_545_2021</w:t>
      </w:r>
    </w:p>
    <w:p>
      <w:r>
        <w:t>FR: GE_GERICHTE ACJC/545/2021 du 10 octobre 2017</w:t>
      </w:r>
    </w:p>
    <w:p>
      <w:r>
        <w:t>IT: GE_GERICHTE ACJC/545/2021 del 10 ottobre 2017</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l'espèce, le litige porte notamment sur les droits parentaux, soit une affaire de nature non pécuniaire dans son ensemble (arrêt du Tribunal fédéral 5A_765/2012 du 19 février 2013 consid. 1.1), de sorte que la voie de l'appel est ouverte indépendamment de la valeur litigieuse.</w:t>
      </w:r>
    </w:p>
    <w:p>
      <w:r>
        <w:rPr>
          <w:b/>
        </w:rPr>
        <w:t>E. 1.2</w:t>
      </w:r>
    </w:p>
    <w:p>
      <w:r>
        <w:t>Interjeté dans le délai utile de dix jours (art. 271 let. a et 314 al. 1 CPC), selon la forme prescrite par la loi (art. 130, 131 et 311 CPC) et auprès de l'autorité compétente (art. 120 al. 1 let. a LOJ), l'appel est recevable.</w:t>
      </w:r>
    </w:p>
    <w:p>
      <w:r>
        <w:rPr>
          <w:b/>
        </w:rPr>
        <w:t>E. 1.3</w:t>
      </w:r>
    </w:p>
    <w:p>
      <w:r>
        <w:t>La Cour revoit la cause en fait et en droit avec un plein pouvoir d'examen (art. 310 CPC). La procédure sommaire étant applicable, la cognition du juge est toutefois limitée à la simple vraisemblance des faits et à un examen sommaire du droit (ATF 138 III 636 consid. 4.3.2; arrêts du Tribunal fédéral 5A_812/2015 du</w:t>
      </w:r>
    </w:p>
    <w:p>
      <w:r>
        <w:rPr>
          <w:b/>
        </w:rPr>
        <w:t>E. 1.4</w:t>
      </w:r>
    </w:p>
    <w:p>
      <w:r>
        <w:t>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arrêt du Tribunal fédéral 5A_801/2017 du 14 mai 2018 consid. 3.3.1). Les faits et moyens de preuve nouveaux admis en appel pour des questions relatives aux enfants doivent être également pris en compte pour déterminer la contribution d'entretien du conjoint, dans la mesure où celle-ci est aussi litigieuse en deuxième instance (arrêt du Tribunal fédéral 5A_67/2020 du 10 août 2020 consid. 3.3.2). Ainsi, les pièces et faits nouveaux invoqués par les parties en appel seront pris en considération. 2. L'appelante remet en cause l'attribution de la garde de l'enfant E______ à l'intimé. 2.1.1 En cas de suspension de la vie commune, le juge ordonne, lorsqu'il y a des enfants mineurs, les mesures nécessaires d'après les dispositions sur les effets de la filiation (art. 176 al. 1 et 3 CC). Il statue ainsi sur l'attribution de la garde de l'enfant et sur la réglementation des relations personnelles de l'époux non gardien (art. 273 CC). Lorsque des mesures protectrices ont été ordonnées, le juge ordonne les modifications commandées par les faits nouveaux (art. 179 CC). 2.1.2 La règle fondamentale pour attribuer les droits parentaux est le bien de l'enfant (ATF 141 III 428 consid. 5.4), les intérêts des parents devant être relégués au second plan (ATF 142 III 617 consid. 3.2.3; 131 III 209 consid. 5).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w:t>
      </w:r>
    </w:p>
    <w:p>
      <w:r>
        <w:t>- 11/23 -</w:t>
      </w:r>
    </w:p>
    <w:p>
      <w:r>
        <w:t>C/7806/2018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(ATF 142 III 612 consid. 4.3, 617 consid. 3.2.3). 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5A_159/2020 du 4 mai 2020 consid. 3.1; 5A_147/2019 du 25 mars 2020 consid. 2.1; 5A_200/2019 du 29 janvier 2020 consid. 3.1.2 et les références).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5A_534/2019 du 31 janvier 2020 consid. 3.1).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(ATF</w:t>
      </w:r>
    </w:p>
    <w:p>
      <w:r>
        <w:t>- 12/23 -</w:t>
      </w:r>
    </w:p>
    <w:p>
      <w:r>
        <w:t>C/7806/2018 111 II 405 consid. 3; arrêts du Tribunal fédéral 5A_228/2020 du 3 août 2020 consid. 3.1; 5A_756/2019 du 13 février 2020 consid. 3.1.1; 5A_406/2018 du 26 juillet 2018 consid. 3.1).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(arrêts du Tribunal fédéral 5A_228/2020 du 3 août 2020 consid. 3.1; 5A_848/2018 du 16 novembre 2018 consid. 5.1; 5A_943/2016 du 1er juin 2017 consid. 6.2.1 et la référence). Pour apprécier ces critères, le juge dispose d'un large pouvoir d'appréciation (ATF 142 III 617 consid. 3.2.5 et les références). 2.1.3 Selon l'art. 298 al. 1 CPC, les enfants sont entendus personnellement et de manière appropriée par le juge ou par un tiers nommé à cet effet, pour autant que leur âge ou de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(arrêt du Tribunal fédéral 5A_971/2015 du 30 juin 2016 consid. 5.1 et les références). L'audition ne présuppose pas que l'enfant ait la capacité de discernement au sens de l'art. 16 CC. Selon la ligne directrice suivie par le Tribunal fédéral, il doit, en principe, être entendu à partir de six ans révolus (ATF 133 III 553 consid. 3; arrêt du Tribunal fédéral 5A_983/2019 du 13 novembre 2020 consid. 5.1).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(arrêts du Tribunal fédéral 5A_983/2019 précité;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arrêt du Tribunal fédéral 5A_983/2019 précité et les références).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133 III 146 consid. 2.6 arrêts du Tribunal fédéral</w:t>
      </w:r>
    </w:p>
    <w:p>
      <w:r>
        <w:t>- 13/23 -</w:t>
      </w:r>
    </w:p>
    <w:p>
      <w:r>
        <w:t>C/7806/2018 5A_971/2015 du 30 juin 2016 consid. 5.1 et les références 5A_482/2007 du 17 décembre 2007 consid. 3.1). Les autres "justes motifs" qui permettent de renoncer à l'audition de l'enfant relèvent du pouvoir d'appréciation du juge et dépendent des circonstances du cas concret. Parmi ceux-ci figure le risque que l'audition mette en danger sa santé physique ou psychique. La simple crainte d'imposer à l'enfant la tension d'une audition n'est pas suffisante; encore faut-il, pour renoncer à l'audition, que cette crainte soit étayée et que le risque dépasse celui qui est inhérent à toute procédure dans laquelle les intérêts des enfants sont en jeu. De même, l'audition de l'enfant ne peut être refusée sous prétexte d'un seul conflit de loyauté, car il faut s'attendre, dans une procédure matrimoniale, à ce qu'il soit soumis à un tel conflit à l'égard de ses parents (ATF 131 III 553 consid. 1.3.1 à 1.3.3; arrêt du Tribunal fédéral 5A_983/2019 précité et les références). Le choix de la personne habilitée à entendre l'enfant relève en principe de l'appréciation du juge. L'audition est en principe effectuée par la juridiction compétente elle-même. En cas de circonstances particulières, elle peut l'être par un spécialiste de l'enfance, par exemple un pédopsychiatre ou le collaborateur d'un service de protection de la jeunesse (ATF 133 III 553 consid. 4; arrêt du Tribunal fédéral 5A_971/2015 du 30 juin 2016 consid. 5.2 et les références).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(arrêts du Tribunal fédéral 5A_971/2015 du 30 juin 2016 précité; 5A_50/2010 du 6 juillet 2010 consid. 2.1 et les références).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146 III 203 consid. 3.3.2; 133 III 553 consid. 4; arrêt du Tribunal fédéral 5A_971/2015 précité et les références).</w:t>
      </w:r>
    </w:p>
    <w:p>
      <w:r>
        <w:t>- 14/23 -</w:t>
      </w:r>
    </w:p>
    <w:p>
      <w:r>
        <w:t>C/7806/2018 2.2 En l'espèce, il n'est à juste titre pas remis en cause qu'une garde partagée n'est pas envisageable, de sorte qu'il faut apprécier, au regard du bien de l'enfant, quel parent est le plus même d'exercer une garde exclusive. L'appelante reproche au premier juge d'avoir omis de procéder à l'audition de l'enfant E______ et d'ordonner d'expertise familiale. Elle lui fait également grief de n'avoir pas suffisamment tenu compte de l'existence d'une procédure pénale à l'encontre de l'intimé pour des actes dirigés contre elle-même et contre sa fille, ainsi que des progrès qu'elle avait réalisés dans sa situation personnelle. 2.2.1 S'agissant de la question de l'audition de l'enfant, il ressort du dossier que le jeune E______ est un enfant angoissé et ayant énormément souffert de la séparation de ses parents. Il a tendance à se sentir responsable des maux dont souffrent sa mère ou sa sœur. Il est encadré étroitement par des professionnels, que ce soient des curateurs ou des intervenants lors des droits de visite médiatisés, ainsi que lors de son suivi thérapeutique. Les propos des personnes encadrant E______, rapportant le ressenti et les désirs de celui-ci, ont été largement retranscrits dans les pièces figurant au dossier. Il s'ensuit que la Cour ne discerne pas la nécessité d'entendre l'enfant à ce stade de la procédure, compte tenu du stress et des angoisses qu'une telle audition pourrait engendrer chez lui. E______, suivi régulièrement par un thérapeute, gère avec difficulté les changements lors de ses rencontres avec sa mère, ces difficultés allant jusqu'à perturber ses apprentissages scolaires. Il peine à faire confiance à l'adulte. Au vu de la situation dans laquelle se trouve E______, l'on ne se saurait retenir que son audition est écartée en raison d'un "simple" conflit de loyauté. En effet, la gravité du conflit parental, allant jusqu'au dépôt de plaintes pénales, les problèmes de santé rencontrés par sa demi-sœur, dont le groupe familial a nécessité l'établissement d'un rapport d'expertise, l'équilibre fragile auquel les spécialistes sont parvenus, par la mise en place de ressources extrêmement importantes, sont autant d'éléments qui démontrent qu'une extrême prudence s'impose dans l'implication de l'enfant E______ dans la présente procédure et que son état de santé serait péjoré, au risque de voir ses progrès disparaître, s'il était placé dans une situation lui donnant l'impression d'être responsable de l'issue de la procédure. Le bénéfice prévisible d'une audition de l'enfant en l'occurrence est restreint quant à la solution adoptée, dans la mesure où une garde confiée à la mère ou un droit de visite élargi de celle-ci ne paraissent pas entrer en considération au vu de ce qui va suivre, de sorte qu'il n'existe pas d'alternatives à la situation actuelle. Ainsi, dans le cas présent, des circonstances particulières commandent de renoncer à l'audition de l'enfant, pour le bien de celui-ci et en l'absence de toute influence prévisible de son audition sur la solution à laquelle est parvenu le premier juge.</w:t>
      </w:r>
    </w:p>
    <w:p>
      <w:r>
        <w:t>- 15/23 -</w:t>
      </w:r>
    </w:p>
    <w:p>
      <w:r>
        <w:t>C/7806/2018 D'ailleurs, l'appelante persiste à demander l'audition de l'enfant sans définir la question de fait qu'elle entendrait éclaircir, ni expliquer ce que cette audition pourrait modifier dans la solution adoptée par le Tribunal. Elle ne discute par ailleurs pas l'influence négative que pourrait avoir une telle audition. Il s'ensuit que c'est à bon droit qu'il a été renoncé à l'audition de l'enfant. 2.2.2 L'appelante reproche au premier juge d'avoir renoncé à ordonner une expertise familiale. Le dossier contient bon nombre de rapports et pièces portant sur la situation familiale. Certes, il est curieux que le premier juge ait dans un premier temps mandaté trois institutions ou médecin successifs pour obtenir une expertise du groupe familial, puis y ait renoncé, mais les nombreuses pièces versées peu à peu à la procédure et qui permettent de se faire une idée précise et actuelle de la situation familiale, expliquent sans doute cette décision. Ici encore, l'appelante, qui insiste sur le besoin d'ordonner une expertise, n'expose pas quels éléments pourraient en ressortir qui commanderaient une appréciation différente de la cause. S'agissant des troubles dont souffre l'appelante, il en est fait état dans l'expertise du groupe familial qu'elle forme avec sa fille et le père de celle-ci. Cette expertise, récente, a été produite par l'appelante elle-même à la procédure. Si les parties et le Tribunal, ainsi que le Tribunal de protection, ont discuté de l'opportunité de la production de ce document à la présente procédure, tel n'est plus le cas en appel. Quant à la relation entre l'enfant et son père, scrutée par les professionnels, elle évolue de façon satisfaisante et bénéfique pour l'enfant. Il s'ensuit qu'on discerne mal en quoi il serait utile de faire procéder à une expertise longue et soumettant l'enfant E______ à des auditions par un expert qu'il conviendrait de lui éviter, pour les motifs déjà développés. En tous les cas, au vu des circonstances de l'espèce, une telle expertise, qui ne conduirait qu'à un rallongement de la procédure, dont les effets délétères ont été constatés par les spécialistes, ne changerait rien à la solution adoptée. Par conséquent, le refus d'ordonner une expertise du groupe familial sera confirmé. 2.2.3 Reste à déterminer si le premier juge a pris en compte tous les éléments pertinents pour l'attribution de la garde sur l'enfant. Le Tribunal a considéré qu'il était dans l'intérêt de E______ d'en confier la garde à son père. Pour parvenir à cette solution, il a, d'une part, retenu que l'appelante n'était en l'état, malgré la bonne évolution des relations qu'elle entretenait avec son</w:t>
      </w:r>
    </w:p>
    <w:p>
      <w:r>
        <w:t>- 16/23 -</w:t>
      </w:r>
    </w:p>
    <w:p>
      <w:r>
        <w:t>C/7806/2018 fils, pas en mesure de lui offrir un cadre propice à son bon développement, compte tenu de sa fragilité psychologique, de ses troubles de la personnalité, de sa consommation excessive d'alcool et de drogues et des difficultés qu'elle éprouvait dans la prise en charge de l'enfant. Le Tribunal a d'autre part relevé que l'intimé se montrait adéquat dans la prise en charge de son fils et collaborait avec les différents intervenants dans l'intérêt de E______, et que la procédure pénale ouverte à son encontre ne permettait pas de retenir un risque d'abus sur E______, qui se développait de manière très positive depuis qu'il vivait avec son père. Contrairement à ce qu'affirme l'appelante, le Tribunal a tenu compte de la procédure pénale dirigée contre l'intimé pour des actes d'ordres sexuels sur sa belle-fille. Son analyse échappe à toute critique, dès lors qu'il a pris cet élément en considération tout en relevant que la culpabilité de l'intimé n'était en l'état pas établie et que le risque de tels agissements sur son fils n'apparaissait pas vraisemblable au regard de l'évolution très positive de l'enfant depuis qu'il est pris en charge au quotidien par son père. Il sera par ailleurs relevé que l'enfant est étroitement encadré par les différents intervenants qui l'entourent, ces mesures apparaissant en l'état suffisantes pour assurer le bon développement de l'enfant; au demeurant, un éventuel retrait de garde de l'enfant au père pour les raisons qu'invoque l'appelante ne signifierait pas pour autant que l'enfant soit confié à l'appelante, un placement de l'enfant en foyer étant à envisager lorsqu'aucun des parents ne dispose des capacités parentales suffisantes pour assurer le bon développement de l'enfant. L'appelante invoque par ailleurs l'évolution positive de sa situation personnelle et de sa relation avec son fils. Contrairement à ce qu'elle développe dans son appel, le premier juge a tenu compte de cette bonne évolution, mais aussi de l'ensemble des autres éléments au dossier, dont il ressort que l'enfant était en souffrance lorsqu'il vivait auprès de sa mère, en raison des nombreux problèmes psychiques et de dépendance de cette dernière, et qu'il se portait et évoluait mieux depuis que sa garde avait été confiée à son père. L'appelante soutient à bon escient que l'exercice de son droit de visite, d'une heure et demie à quinzaine, se passe bien, mais elle perd de vue qu'une surveillance stricte a dû être mise en place pour éviter les débordements et que les spécialistes préconisent un maintien de cette situation et non un élargissement des relations personnelles. Plusieurs rapports récents de la seconde partie de l'année 2020 montrent que l'enfant mobilise une énergie importante pour les rencontres avec sa mère et que l'équilibre est encore fragile. En définitive, il s'avère que l'appelante oppose surtout sa propre version des faits aux constatations du premier juge, en occultant les nombreux éléments défavorables à un octroi de la garde en sa faveur. Il ne saurait être question, malgré les efforts que fournit l'appelante et les progrès qu'elle réalise, qui sont à saluer, de lui attribuer la garde de l'enfant en récompense de ses propres efforts ou</w:t>
      </w:r>
    </w:p>
    <w:p>
      <w:r>
        <w:t>- 17/23 -</w:t>
      </w:r>
    </w:p>
    <w:p>
      <w:r>
        <w:t>C/7806/2018 en raison des prétendues défaillances qu'elle reproche au père de l'enfant. Le critère essentiel applicable en la matière demeure le bien de l'enfant. Celui-ci a été pris en compte à sa juste valeur par le premier juge, de sorte que la décision entreprise sera confirmée sur ce point. 3. L'appelante reproche au premier juge de lui avoir refusé toute contribution à son propre entretien. 3.1.1 En cas de suspension de la vie commune, le juge fixe les contributions d'entretien à verser respectivement aux enfants et à l'époux (art. 176 al. 1 ch. 1 CC). Lorsque des mesures protectrices ont été prononcées, le juge ordonne les modifications commandées par les faits nouveaux (art. 179 al. 1 CC). 3.1.2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(arrêt du Tribunal fédéral 5A_235/2016 15 août 2016 consid. 3.1; ATF 137 III 604 consid. 4.1.1; 131 III 189 consid. 2.7.4; arrêt 5A_235/2016 précité).</w:t>
      </w:r>
    </w:p>
    <w:p>
      <w:r>
        <w:t>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 du Tribunal fédéral 5A_688/2013 du 14 avril 2014 consid. 8.2, en matière de divorce). 3.1.3 Le principe et le montant de la contribution d'entretien due au conjoint selon l'art. 176 CC se déterminent en fonction des facultés économiques et des besoins respectifs des époux (ATF 121 I 97 consid. 3b; 118 II 376 consid. 20b; arrêt du Tribunal fédéral 5A_534/2019 du 31 janvier 2020 consid. 4.1).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w:t>
      </w:r>
    </w:p>
    <w:p>
      <w:r>
        <w:t>- 18/23 -</w:t>
      </w:r>
    </w:p>
    <w:p>
      <w:r>
        <w:t>C/7806/2018 vie commune (art. 175 et suivant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Ainsi, le juge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Cela suppose que la reprise de la vie commune, et donc le maintien de la répartition antérieure des tâches, ne soient ni recherchés, ni rendus vraisemblables (ATF 137 III 385 consid. 3.1; arrêt du Tribunal fédéral 5A_584/2018 du 10 octobre 2018 consid. 5.1.1). Si leur situation financière le permet encore, le standard de vie antérieur, choisi d'un commun accord, doit être maintenu pour les deux parties (ATF 121 I 97 consid. 3b; arrêt du Tribunal fédéral 5A_276/2019 du 10 octobre 2019 consid. 6.1). Quand il n'est pas possible de conserver ce niveau de vie, les époux ont droit à un train de vie semblable (ATF 140 III 337 consid. 4.2.1; 137 III 102 consid. 4.2; 121 I 97 consid. 3b; arrêt du Tribunal fédéral 5A_276/2019 précité, ibid.). La loi ne prescrit pas de méthode de calcul particulière pour arrêter la quotité de la contribution d'entretien. Selon la jurisprudence, le juge fixe la contribution d'entretien en appliquant la méthode concrète en deux étapes avec répartition de l'excédent, qui consiste à déterminer les ressources à disposition et les besoins des personnes concernées, puis à répartir un éventuel excédent entre les ayants droit (arrêts du Tribunal fédéral 5A_891/2018 du 2 février 2021, consid. 4.5; 5A_800/2019 du 9 février 2021, consid. 4.3). Sa fixation relève de l'appréciation du juge, qui jouit d'un large pouvoir d'appréciation et applique les règles du droit et de l'équité (art. 4 CC; ATF 140 III 337 consid. 4.2.2; 134 III 577 consid. 4; 128 III 411 consid. 3.2.2). 3.1.4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Lorsqu'il entend tenir compte d'un revenu hypothétique, le juge doit ainsi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w:t>
      </w:r>
    </w:p>
    <w:p>
      <w:r>
        <w:t>- 19/23 -</w:t>
      </w:r>
    </w:p>
    <w:p>
      <w:r>
        <w:t>C/7806/2018 accomplir. Le juge doit en outre examiner si celle-ci a la possibilité effective d'exercer l'activité ainsi déterminée et quel revenu elle peut en obtenir, compte tenu des circonstances subjectives susmentionnées ainsi que du marché du travail; il s'agit là d'une question de fait (ATF 143 III 233 consid. 3.2; 137 III 102 consid. 4.2.2.2, 118 consid. 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arrêts du Tribunal fédéral 5A_461/2019 du 6 mars 2020 consid. 3.1; 5A_254/2019 du 18 juillet 2019 consid. 3.1 et les références). En principe, l'on accorde à la partie à qui l'on veut imputer un revenu hypothétique un délai approprié pour s'adapter à sa nouvelle situation; ce délai doit être fixé en fonction des circonstances du cas particulier (ATF 129 III 417 consid. 2.2; 114 II 13 consid. 5; arrêts du Tribunal fédéral 5A_534/2019 du 31 janvier 2020 consid. 4.1; 5A_329/2019 du 25 octobre 2019 consid. 3.3.1.1 et les références). 3.2.1 En l'espèce, dans le cadre des mesures protectrices de l'union conjugale prononcées le 10 octobre 2017, la contribution de l'intimé à l'entretien de son épouse a été fixée à 1'500 fr. par mois. La garde de l'enfant avait alors été confiée à la mère, et les revenus des époux s'élevaient à 5'867 fr. pour l'intimé et à 2'000 fr. pour l'appelante. Depuis lors, les circonstances ont changé de manière notable, puisque la garde de E______ est attribuée à l'intimé, ce que les parties n'avaient pas envisagé lors du prononcé des mesures protectrices en octobre 2017, et que les revenus des époux ont augmenté. Il se justifie en conséquence de revoir la contribution d'entretien en faveur de la recourante. 3.2.2 C'est à juste titre que cette dernière reproche au Tribunal d'avoir supprimé la contribution à son entretien en appliquant la méthode concrète de manière incomplète. Le premier juge a en effet considéré, dans un premier temps, qu'il n'y avait pas lieu d'imputer un revenu hypothétique à l'appelante. Il a ensuite, en examinant l'obligation de l'intimé à l'entretien de son épouse, décidé de renoncer à la répartition de l'excédent de la famille entre les époux au motif que cette dernière allait pouvoir augmenter sa capacité de gain et se trouver dans une situation similaire à celui de l'intimé. En partant de la sorte du principe que celle- ci pouvait immédiatement réaliser un revenu de l'ordre de celui de son époux, le premier juge a précisément imputé un revenu hypothétique sans en examiner les conditions, ni fixer de délai à l'appelante pour ce faire. Il n'était pas fondé, sur cette seule base, de renoncer à répartir l'excédent de la famille entre les époux. L'appelante, âgée de 40 ans, a terminé une formation de ______ en automne 2019 et commencé le 1er octobre 2019 à travailler en cette qualité à 80% moyennant un</w:t>
      </w:r>
    </w:p>
    <w:p>
      <w:r>
        <w:t>- 20/23 -</w:t>
      </w:r>
    </w:p>
    <w:p>
      <w:r>
        <w:t>C/7806/2018 revenu mensuel brut de 4'400 fr. Depuis le 1er septembre 2020, son taux d'activité a diminué à 20% et son salaire s'élève depuis lors à 1'011 fr. net par mois, complété par des indemnités de chômage de 2'410 fr. 35 par mois. Depuis la séparation des époux, l'appelante a ainsi entrepris une nouvelle formation professionnelle en vue de se réinsérer professionnellement et a commencé à travailler à 80%. L'on ne saurait, dans ces circonstances, lui reprocher de n'avoir pas fourni les efforts que l'on peut raisonnablement exiger d'elle pour exploiter au mieux sa capacité de gain, de sorte qu'il ne se justifie pas, en l'état, de lui imputer un revenu hypothétique. La situation financière des époux s'examinera dès lors au regard des revenus effectifs de l'appelante, qui se montent à 3'421 fr. par mois, comprenant son salaire mensuel net de 1'011 fr. pour l'activité qu'elle déploie à 20% et les indemnités de chômage de 2'410 fr. 3.2.3 Il est en l'occurrence admis que l'intimé perçoit un salaire mensuel net de 6'429 fr. et bénéficie d'un disponible de l'ordre de 3'700 fr. après couverture de ses charges mensuelles de 2'724 fr. Les charges de l'appelante s'élèvent à 2'797 fr., de sorte qu'elle dispose d'un montant de l'ordre de 620 fr. tant que ses revenus sont de 3'421 fr. Les ressources des parties, de 9'850 fr. au total, excèdent ainsi de 3'780 fr. les charges totales de la famille, retenues à hauteur de 6'066 fr. (2'724 fr. + 2'797 fr. + 545 fr.). Dans la mesure où l'intimé assume la garde exclusive de l'enfant, il se justifie de répartir cet excédent à raison de deux cinquièmes pour l'appelante et du solde pour l'intimé et l'enfant. La contribution de l'intimé à l'entretien de l'appelante sera en conséquence fixée à 1'100 fr. par mois. Cette dernière disposera ainsi, après couverture de ses charges et versement de sa contribution de 200 fr. à l'entretien de son fils, d'un montant de 1'524 fr. (3'421 fr. + 1'100 fr. - 2'797 fr. – 200 fr.), l'intimé bénéficiant quant à lui, après avoir couvert son entretien et les charges résiduelles de l'enfant, d'un disponible de 2'260 fr. pour lui-même et l'enfant (6'429 fr. – 2'724 fr. – 345 fr. – 1'100 fr.). L'intimé sera en conséquence condamné à contribuer à l'entretien de l'appelante à raison de 1'100 fr. par mois à compter du 1er décembre 2020, l'intimé n'ayant pas remis en cause la décision du premier juge de ne pas faire rétroagir la modification de la contribution antérieurement au prononcé du jugement.</w:t>
      </w:r>
    </w:p>
    <w:p>
      <w:r>
        <w:t>Le jugement sera, partant, modifié en ce sens. 4. 4.1 Lorsque l'instance d'appel statue à nouveau, elle se prononce sur les frais de première instance (art. 318 al. 3 CPC).</w:t>
      </w:r>
    </w:p>
    <w:p>
      <w:r>
        <w:t>- 21/23 -</w:t>
      </w:r>
    </w:p>
    <w:p>
      <w:r>
        <w:t>C/7806/2018 En l'espèce, les parties ne critiquent pas la quotité des frais de première instance, lesquels sont conformes au règlement fixant le tarif des frais en matière civile du 22 décembre 2010 (RTFMC - E 1 05.10). La modification du jugement entrepris ne commande par ailleurs pas de revoir la répartition effectuée par le premier juge, compte tenu de la nature du litige et du fait qu'aucune des parties n'obtient entièrement gain de cause (art. 106 al. 2 et 107 al. 1 let. c CPC). Le jugement attaqué sera dès lors confirmé sur ces points. 4.2 Les frais judiciaires d'appel seront arrêtés à 1'000 fr. au total, soit 800 fr. pour la présente décision et 200 fr. pour la décision rendue le 29 septembre 2020 sur restitution de l'effet suspensif (art. 31 et 37 RTFMC). Ils seront mis à la charge des parties à raison d'une moitié chacune, compte tenu de l'issue du litige et de son caractère familial (art. 106 al. 2 et 107 al. 1 let. c CPC). Les deux parties plaidant au bénéfice de l'assistance judiciaire, les frais judiciaires seront provisoirement supportés par l'Etat de Genève, qui pourra en réclamer le remboursement ultérieurement aux conditions fixées par la loi (art. 122 et 123 CPC; art. 19 du Règlement sur l'assistance juridique et l'indemnisation des conseils juridiques et défenseurs d'office en matière civile, administrative et pénale [RAJ] - RS/GE E 2 05.04). 4.3 Vu la nature familiale du litige et conformément aux conclusions des parties qui ont renoncé à des dépens, chaque partie supportera ses propres dépens d'appel (art. 107 al. 1 let. c CPC). * * * * *</w:t>
      </w:r>
    </w:p>
    <w:p>
      <w:r>
        <w:t>- 22/23 -</w:t>
      </w:r>
    </w:p>
    <w:p>
      <w:r>
        <w:t>C/7806/2018 PAR CES MOTIFS, La Chambre civile : A la forme : Déclare recevable l'appel interjeté par A______ contre le jugement JTPI/15352/2020 rendu le 9 décembre 2020 par le Tribunal de première instance dans la cause C/7806/2018-16. Au fond : Annule le ch. 13 du dispositif du jugement entrepris, cela fait, statuant à nouveau : Condamne B______ à verser à A______ une contribution d'entretien de 1'100 fr. par mois à compter du 1er décembre 2020. Confirme pour le surplus le jugement entrepris. Déboute les parties de toutes autres conclusions. Sur les frais : Arrête les frais judiciaires d'appel à 1'000 fr., les met à la charge des parties à raison d'une moitié chacune et dit qu'ils sont provisoirement supportés par l'Etat de Genève. Dit qu'il n'est pas alloué de dépens d'appel. Siégeant : Madame Ursula ZEHETBAUER GHAVAMI, présidente; Madame Sylvie DROIN, Madame Nathalie RAPP, juges; Madame Camille LESTEVEN, greffière.</w:t>
      </w:r>
    </w:p>
    <w:p>
      <w:r>
        <w:t>La présidente : Ursula ZEHETBAUER GHAVAMI</w:t>
      </w:r>
    </w:p>
    <w:p>
      <w:r>
        <w:t>La greffière : Camille LESTEVEN</w:t>
      </w:r>
    </w:p>
    <w:p>
      <w:r>
        <w:t>- 23/23 -</w:t>
      </w:r>
    </w:p>
    <w:p>
      <w:r>
        <w:t>C/7806/2018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septembre 2016 consid. 5.2; 5A_937/2014 du 26 mai 2015 consid. 6.2.2). Les maximes d'office et inquisitoire illimitée sont applicables aux questions concernant les enfants mineurs (art. 55 al. 2, 58 al. 2 et art. 296 CPC), ce qui a</w:t>
      </w:r>
    </w:p>
    <w:p>
      <w:r>
        <w:t>- 10/23 -</w:t>
      </w:r>
    </w:p>
    <w:p>
      <w:r>
        <w:t>C/7806/2018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En tant qu'elle porte sur la contribution d'entretien en faveur du conjoint, la procédure est soumise à la maxime de disposition (ATF 128 III 411 consid. 3.2; arrêt du Tribunal fédéral 5A_831/2016 du 21 mars 2017 consid. 4.4) et à la maxime inquisitoire sociale (art. 272 CPC; arrêt du Tribunal fédéral 5A_645/2016 du 18 mai 2017 consid. 3.2.3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