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ACJC/545/2014 vom 2. Mai 2014</w:t>
      </w:r>
    </w:p>
    <w:p>
      <w:r>
        <w:t>GE Cour de justice, 2014-05-02, FR</w:t>
      </w:r>
    </w:p>
    <w:p>
      <w:r>
        <w:rPr>
          <w:b/>
        </w:rPr>
        <w:t xml:space="preserve">Quelle: </w:t>
      </w:r>
      <w:r>
        <w:t>https://mcp.opencaselaw.ch/entscheid/ge_gerichte_ACJC_545_2014</w:t>
      </w:r>
    </w:p>
    <w:p>
      <w:r>
        <w:t>FR: GE_GERICHTE ACJC/545/2014 du 2 mai 2014</w:t>
      </w:r>
    </w:p>
    <w:p>
      <w:r>
        <w:t>IT: GE_GERICHTE ACJC/545/2014 del 2 maggio 2014</w:t>
      </w:r>
    </w:p>
    <w:p>
      <w:pPr>
        <w:pStyle w:val="Heading2"/>
      </w:pPr>
      <w:r>
        <w:t>Erwägungen</w:t>
      </w:r>
    </w:p>
    <w:p>
      <w:r>
        <w:rPr>
          <w:b/>
        </w:rPr>
        <w:t>E. 1.1</w:t>
      </w:r>
    </w:p>
    <w:p>
      <w:r>
        <w:t>S'agissant d'une procédure de mainlevée, seule la voie du recours est ouverte (art. 319 let. b et 309 let. b ch. 3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Le présent recours, formé dans le délai et selon la forme prévus par la loi, est recevable.</w:t>
      </w:r>
    </w:p>
    <w:p>
      <w:r>
        <w:rPr>
          <w:b/>
        </w:rPr>
        <w:t>E. 1.2</w:t>
      </w:r>
    </w:p>
    <w:p>
      <w:r>
        <w:t>Dans le cadre d'un recours, l'autorité a un plein pouvoir d'examen en droit, mais un pouvoir limité à l'arbitraire en fait (art. 320 CPC; HOHL, Procédure civile, tome II, 2ème éd., 2010, n. 2307).</w:t>
      </w:r>
    </w:p>
    <w:p>
      <w:r>
        <w:t>La procédure de mainlevée étant instruite en procédure sommaire (art. 251 let. a CPC), la maxime des débats s'applique (art. 55 al. 1, art. 255 let. a a contrario CPC) et la preuve des faits allégués doit être apportée par titres (art. 254 CPC).</w:t>
      </w:r>
    </w:p>
    <w:p>
      <w:r>
        <w:rPr>
          <w:b/>
        </w:rPr>
        <w:t>E. 2</w:t>
      </w:r>
    </w:p>
    <w:p>
      <w:r>
        <w:t>Selon l'art. 326 al. 1 CPC, les conclusions, les allégations de faits et les preuves nouvelles sont irrecevables en recours.</w:t>
      </w:r>
    </w:p>
    <w:p>
      <w:r>
        <w:t>Seront donc écartées de la procédure les factures, les réquisitions de poursuite et de continuer la poursuite produites par la recourante pour la première fois en instance de recours, étant relevé que ces documents sont de toute façon non pertinents pour la solution du litige (cf. infra ch. 3 et 4).</w:t>
      </w:r>
    </w:p>
    <w:p>
      <w:r>
        <w:t>En revanche, les inscriptions au Registre du commerce, accessibles au public par internet, sont notoires (arrêt du Tribunal fédéral 4A_473/2011 du 22 décembre 2011 consid. 2.2).</w:t>
      </w:r>
    </w:p>
    <w:p>
      <w:r>
        <w:rPr>
          <w:b/>
        </w:rPr>
        <w:t>E. 3</w:t>
      </w:r>
    </w:p>
    <w:p>
      <w:r>
        <w:t>La recourante reproche au premier juge une confusion, s'agissant de la requérante en mainlevée, et considère que la dette du poursuivi résulterait clairement de la "proposition d'intervention" du 20 septembre 2011.</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w:t>
      </w:r>
    </w:p>
    <w:p>
      <w:r>
        <w:t>- 5/7 -</w:t>
      </w:r>
    </w:p>
    <w:p>
      <w:r>
        <w:t>C/16727/2013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w:t>
      </w:r>
    </w:p>
    <w:p>
      <w:r>
        <w:rPr>
          <w:b/>
        </w:rPr>
        <w:t>E. 3.1.1</w:t>
      </w:r>
    </w:p>
    <w:p>
      <w:r>
        <w:t>En l'absence du consentement de la partie adverse et hormis les exceptions prévues par la loi, la substitution de partie est exclue en cours de procédure (art. 83 al. 4 CPC).</w:t>
      </w:r>
    </w:p>
    <w:p>
      <w:r>
        <w:t>Dans une procédure de mainlevée provisoire, le requérant qui n'est pas identique au créancier poursuivant ne peut donc pas exiger unilatéralement sa substitution par ce dernier.</w:t>
      </w:r>
    </w:p>
    <w:p>
      <w:r>
        <w:rPr>
          <w:b/>
        </w:rPr>
        <w:t>E. 3.1.2</w:t>
      </w:r>
    </w:p>
    <w:p>
      <w:r>
        <w:t>Par reconnaissance de dette au sens de l'art. 82 al. 1 LP, il faut entendre notamment l'acte sous seing privé, signé par le poursuivi - ou son représentant (cf. ATF 130 III 87 consid. 3.1 p. 88) -, d'où ressort sa volonté de payer au poursuivant, sans réserve ni condition, une somme d'argent déterminée, ou aisément déterminable, et exigible (ATF 136 III 624 consid. 4.2.2, 627 consid. 2). Des factures ne valent pas reconnaissance de dette et ce, même si elles ne sont pas contestées (arrêt du Tribunal fédéral 5P.290/2006 du 12 octobre 2006 consid. 3.2).</w:t>
      </w:r>
    </w:p>
    <w:p>
      <w:r>
        <w:rPr>
          <w:b/>
        </w:rPr>
        <w:t>E. 3.2</w:t>
      </w:r>
    </w:p>
    <w:p>
      <w:r>
        <w:t>En l'espèce, à teneur du commandement de payer produit, I.______ SA est la société poursuivante. Or, la mainlevée de l'opposition au commandement de payer a été requise par A.______ SA, et non pas par I.______ SA. Le fait que la même personne physique administre chacune de ces sociétés n'y change rien; il n'y a eu aucune confusion du premier juge, à cet égard. A aucun moment, en première instance, le signataire de la requête de mainlevée n'a indiqué agir en qualité d'administrateur d'I.______ SA, pour le compte de celle-ci, et non, comme cela ressortait pourtant de la requête, en qualité d'administrateur d'A.______ SA. A.______ SA ne peut donc pas exiger unilatéralement, en instance de recours, son remplacement par I.______ SA, en qualité de partie requérante. L'identité entre la société requérante et la société poursuivante fait ainsi toujours défaut. Qui plus est, le document produit à l'appui de la requête de mainlevée, intitulé "proposition d'intervention", n'arrête aucun prix définitif et n'a pas été signé par l'intimé en son nom propre. Par conséquent, ce document ne comporte aucune reconnaissance de dette de la part de l'intimé. Quant au courriel imprimé aux termes duquel l'intimé propose de régler "ce problème (en mon nom propre) en vous versant la moitié de la somme qui est due pour stopper la procédure", il ne comporte pas de signature et ne permet d'ailleurs</w:t>
      </w:r>
    </w:p>
    <w:p>
      <w:r>
        <w:t>- 6/7 -</w:t>
      </w:r>
    </w:p>
    <w:p>
      <w:r>
        <w:t>C/16727/2013 pas de déterminer avec certitude le montant exact que l'intimé aurait reconnu devoir, ni à qui (à la société poursuivante ou à l'organe ou l'employé de cette société). Les documents produits ne constituent donc pas une reconnaissance de dette au sens de l'art. 82 al. 1 LP, dès lors qu'ils ne comportent aucune acceptation écrite et signée de l'intimé, à l'égard de la société poursuivante.</w:t>
      </w:r>
    </w:p>
    <w:p>
      <w:r>
        <w:t>C'est ainsi à bon droit que le Tribunal a refusé de prononcer la mainlevée provisoire.</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fixé à 450 fr. Il est mis à la charge de la recourante et sera compensé avec l'avance de frais du même montant opérée par celle-ci, acquise à l'Etat par compensation (art. 111 al. 1 CPC). L'intimé n'ayant pas répondu au recours, il ne se justifie pas de lui allouer de dépens (art. 95 al. 3 let. c CPC). * * * * *</w:t>
      </w:r>
    </w:p>
    <w:p>
      <w:r>
        <w:t>- 7/7 -</w:t>
      </w:r>
    </w:p>
    <w:p>
      <w:r>
        <w:t>C/16727/2013 PAR CES MOTIFS, La Chambre civile : A la forme : Déclare recevable le recours interjeté par A.______ SA contre le jugement JTPI/16661/2013 rendu le 10 décembre 2013 par le Tribunal de première instance dans la cause C/16727/2013-1 SML. Au fond : Rejette ce recours. Déboute les parties de toutes autres conclusions. Sur les frais de recours : Arrête les frais judiciaires du recours à 450 fr., compensés par l'avance de frais fournie par A.______ SA, acquise à l'Etat. Les met à la charge d'A.______ SA. Dit qu'il n'est pas alloué de dépens. Siégeant : Madame Daniela CHIABUDINI, présidente; Madame Sylvie DROIN et Madame Alix FRANCOTTE CONUS, juges; Madame Céline FERREIRA, greffière.</w:t>
      </w:r>
    </w:p>
    <w:p>
      <w:r>
        <w:t>La présidente : Daniela CHIABUDINI</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