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ACJC/543/2013 vom 2. Mai 2013</w:t>
      </w:r>
    </w:p>
    <w:p>
      <w:r>
        <w:t>GE Cour de justice, 2013-05-02, FR</w:t>
      </w:r>
    </w:p>
    <w:p>
      <w:r>
        <w:rPr>
          <w:b/>
        </w:rPr>
        <w:t xml:space="preserve">Quelle: </w:t>
      </w:r>
      <w:r>
        <w:t>https://mcp.opencaselaw.ch/entscheid/ge_gerichte_ACJC_543_2013</w:t>
      </w:r>
    </w:p>
    <w:p>
      <w:r>
        <w:t>FR: GE_GERICHTE ACJC/543/2013 du 2 mai 2013</w:t>
      </w:r>
    </w:p>
    <w:p>
      <w:r>
        <w:t>IT: GE_GERICHTE ACJC/543/2013 del 2 maggio 2013</w:t>
      </w:r>
    </w:p>
    <w:p>
      <w:pPr>
        <w:pStyle w:val="Heading2"/>
      </w:pPr>
      <w:r>
        <w:t>Erwägungen</w:t>
      </w:r>
    </w:p>
    <w:p>
      <w:r>
        <w:rPr>
          <w:b/>
        </w:rPr>
        <w:t>E. 1.1</w:t>
      </w:r>
    </w:p>
    <w:p>
      <w:r>
        <w:t>Le jugement attaqué est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w:t>
      </w:r>
    </w:p>
    <w:p>
      <w:r>
        <w:rPr>
          <w:b/>
        </w:rPr>
        <w:t>E. 1.2</w:t>
      </w:r>
    </w:p>
    <w:p>
      <w:r>
        <w:t>En revanche, l'appel joint (art. 313 CPC), qui est soumis aux mêmes conditions de recevabilité que l'appel principal (JEANDIN, Code de procédure civile commenté, n. 4 ad art. 313 CPC), est irrecevable. En effet, la partie intimée peut former son appel joint dans la mesure où elle était habilitée à appeler elle- même du jugement querellé (op. cit, n. 6 ad art. 313 CPC). Or, tel n'est pas le cas étant donné qu'elle a obtenu gain de cause devant le premier juge. En outre et pour cette raison, ses conclusions n'attaquent pas le jugement rendu par le Tribunal comme le doivent des conclusions d'appel (art. 308 CPC).</w:t>
      </w:r>
    </w:p>
    <w:p>
      <w:r>
        <w:rPr>
          <w:b/>
        </w:rPr>
        <w:t>E. 1.3</w:t>
      </w:r>
    </w:p>
    <w:p>
      <w:r>
        <w:t>La Cour revoit la cause avec un plein pouvoir d'examen (art. 310 CPC).</w:t>
      </w:r>
    </w:p>
    <w:p>
      <w:r>
        <w:rPr>
          <w:b/>
        </w:rPr>
        <w:t>E. 1.4</w:t>
      </w:r>
    </w:p>
    <w:p>
      <w:r>
        <w:t>Le CPC, entré en vigueur le 1er janvier 2011 (RS 272), est applicable (art. 405 al. 1 CPC).</w:t>
      </w:r>
    </w:p>
    <w:p>
      <w:r>
        <w:rPr>
          <w:b/>
        </w:rPr>
        <w:t>E. 2</w:t>
      </w:r>
    </w:p>
    <w:p>
      <w:r>
        <w:t>Les appelants font grief au Tribunal de n'avoir pas retenu que l'intention réelle des parties était de vendre, respectivement d'acheter la chambre de bonne faisant l'objet du contrat de bail. Par ailleurs, ils lui ont reproché d'avoir considéré qu'ils avaient manqué de diligence. Invoquant l'application de l'art. 3 al. 2 CC à l'intimée, ils soutiennent que celle-ci aurait dû comprendre, de bonne foi, que les appelants souhaitaient acquérir la chambre de bonne telle que louée; elle devait savoir que les lots nos 8.02 et 8.03 avaient été réunis. Subsidiairement, ils ont soutenu que l'intimée abusait de son droit de revendiquer le lot no 8.02.</w:t>
      </w:r>
    </w:p>
    <w:p>
      <w:r>
        <w:rPr>
          <w:b/>
        </w:rPr>
        <w:t>E. 2.1</w:t>
      </w:r>
    </w:p>
    <w:p>
      <w:r>
        <w:t>Pour ses parties exclusives, le propriétaire d'étage dispose des mêmes actions qu'un propriétaire foncier ordinaire (ATF 132 III 9 consid. 3.6), notamment celle permettant de revendiquer une chose qui lui appartient contre quiconque la détient sans droit (art. 641 al. 2 CC). La restitution ne sera ordonnée que si le défendeur fait valoir, en apportant les preuves requises, qu'il est devenu propriétaire de l'objet ou qu'il a le droit de posséder l'objet en vertu d'un droit réel limité ou d'un droit personnel (STEINAUER, Les droits réels, 2012, Tome I, n. 1022 p. 363).</w:t>
      </w:r>
    </w:p>
    <w:p>
      <w:r>
        <w:t>- 8/13 -</w:t>
      </w:r>
    </w:p>
    <w:p>
      <w:r>
        <w:t>C/4341/2010 Cette action, en revendication, est imprescriptible (arrêt du Tribunal fédéral 4A_41/2011; ATF 48 II 38, JT 1922 I 354).</w:t>
      </w:r>
    </w:p>
    <w:p>
      <w:r>
        <w:rPr>
          <w:b/>
        </w:rPr>
        <w:t>E. 2.2</w:t>
      </w:r>
    </w:p>
    <w:p>
      <w:r>
        <w:t>Le Registre foncier donne l'état de droit sur un immeuble (art. 942 al. 1 CC).</w:t>
      </w:r>
    </w:p>
    <w:p>
      <w:r>
        <w:t>Il a pour fonction de réaliser, en matière immobilière, le principe de publicité, selon lequel les droits réels doivent être rendus manifestes pour les tiers. La possession, qui assure d'une manière générale la publicité en matière mobilière, ne peut en effet remplir la même fonction en ce qui concerne les immeubles (STEINAUER, op. cit., n. 526 p. 198). Ainsi, celui qui fait valoir un intérêt a le droit de consulter le Registre foncier ou de s'en faire délivrer des extraits (art. 970 al. 1 CC). Certaines données sont librement accessibles; d'autres ne sont communiquées qu'aux personnes pouvant rendre leur intérêt à la consultation plausible, par exemple à celui qui envisage sérieusement d'acheter un immeuble. Dans les deux cas, le Registre foncier est censé connu (STEINAUER, op. cit., n. 580, 584a et 585, p. 217 ss). Nul ne peut se prévaloir de ce qu'il n'a pas connu une inscription portée au Registre foncier (art. 970 al. 4 CC). Il s'agit là d'une fiction, qui est la conséquence des possibilités de prendre connaissance du Registre ouvertes par l'art. 970 al. 1 à</w:t>
      </w:r>
    </w:p>
    <w:p>
      <w:r>
        <w:rPr>
          <w:b/>
        </w:rPr>
        <w:t>E. 2.3</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Le fardeau de la preuve incombe à celui qui s'éloigne du sens dit objectif du contrat (WINIGER, Commentaire romand du code des obligations, n. 24 ad art. 18 CO). La recherche de la volonté réelle des parties est qualifiée d'interprétation subjective. Si cette volonté réelle ne peut pas être établie ou si les volontés intimes</w:t>
      </w:r>
    </w:p>
    <w:p>
      <w:r>
        <w:t>- 9/13 -</w:t>
      </w:r>
    </w:p>
    <w:p>
      <w:r>
        <w:t>C/4341/2010 divergent, le juge doit interpréter les déclarations et les comportements selon la théorie de la confiance, en recherchant comment une déclaration ou une attitude pouvait être comprise de bonne foi en fonction de l'ensemble des circonstances (interprétation dite objective). L'interprétation subjective a la priorité sur l'interprétation objective (ATF 131 III 606 consid. 4.1).</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(ibidem).</w:t>
      </w:r>
    </w:p>
    <w:p>
      <w:r>
        <w:t>Le principe de la confiance est déduit des règles de la bonne foi selon l'art. 2 al. 1 CC (ATF 99 II 67 consid. 3, JT 1973 I 572).</w:t>
      </w:r>
    </w:p>
    <w:p>
      <w:r>
        <w:rPr>
          <w:b/>
        </w:rPr>
        <w:t>E. 3</w:t>
      </w:r>
    </w:p>
    <w:p>
      <w:r>
        <w:t>En l'espèce, il est constant que le texte du contrat de vente litigieux mentionne uniquement le lot no 8.03, à l'exclusion du lot no 8.02. Il convient de déterminer si l'intention commune des parties portait néanmoins aussi sur la vente de ce dernier lot.</w:t>
      </w:r>
    </w:p>
    <w:p>
      <w:r>
        <w:t>Les appelants comptaient sans aucun doute acquérir les deux lots à l'occasion de la conclusion du contrat précité, leur volonté intime étant d'acheter la chambre de bonne litigieuse telle qu'ils la louaient. Il résulte cependant de la procédure que tous les intéressés ignoraient la transformation effectuée par la mère de l'intimée, à savoir la réunion des lots nos 8.02 et 8.03. En outre, selon ses propres déclarations, confirmées par un témoin, l'intimée a accepté de vendre le lot no 8.03 aux appelants seulement parce qu'elle conservait la propriété d'une seconde chambre de bonne (lot no 8.02). La Cour en est d'autant plus convaincue que, selon l'expérience de la vie et des affaires, l'intimée, en tant que propriétaire d'un appartement dans l'immeuble, avait un intérêt - en tout cas économique - d'y garder une chambre de bonne. La déclaration de l'intimée, apparemment contradictoire à cet égard, selon laquelle elle avait découvert l'existence des deux chambres de bonne lors des travaux entrepris dans la tourelle, dûment mise en relation avec la suite de son audition - elle n'avait pas pu accéder à sa tourelle avant les travaux de 2009 -, signifie manifestement que ce n'est qu'à cette occasion qu'elle a pu se rendre compte de la configuration réelle des lieux.</w:t>
      </w:r>
    </w:p>
    <w:p>
      <w:r>
        <w:t>- 10/13 -</w:t>
      </w:r>
    </w:p>
    <w:p>
      <w:r>
        <w:t>C/4341/2010</w:t>
      </w:r>
    </w:p>
    <w:p>
      <w:r>
        <w:t>Ainsi, eu égard aux éléments qui précèdent, la Cour est convaincue que l'intimée ne souhaitait pas vendre le lot no 8.02 aux appelants. Les appelants n'ont donc pas réussi à démontrer, alors qu'ils en avaient la charge, que l'intimée avait une réelle intention de leur vendre également le lot 8.02.</w:t>
      </w:r>
    </w:p>
    <w:p>
      <w:r>
        <w:t>Comme les volontés intimes des parties divergeaient sur ce point lors de la conclusion du contrat de vente, il convient de déterminer comment ce contrat pouvait, de bonne foi, être compris par les appelants.</w:t>
      </w:r>
    </w:p>
    <w:p>
      <w:r>
        <w:t>A cet égard, il est constant que les circonstances suivantes ont été source de confusion pour les appelants : le bail précité et l'état des lieux d'entrée désignaient la chambre de bonne litigieuse par des termes indiquant qu'il s'agit d'une seule pièce; sur le plan des combles inférieurs de l'immeuble remis aux appelants lors de la conclusion du bail de leur appartement, un représentant de la régie administratrice de l'immeuble a entouré les lots nos 8.02 et 8.03, laissant comprendre que le bail portait sur un seul espace, ce que confirmait la mention "chambre de service"; les appelants ont en outre réellement bénéficié, quoique durant une période relativement brève (inférieure à trois ans), de la jouissance d'une chambre de bonne constituée d'une pièce unique. L'impact objectif de ces circonstances est néanmoins à relativiser. En effet, le contenu du Registre foncier est censé être connu par les appelants en vertu de la loi, sans compter que la consultation du Registre foncier est une précaution d'usage élémentaire en cas d'acquisition d'un bien immobilier. De surcroît, le plan précité des combles de l'immeuble remis aux appelants indiquait l'existence formelle de deux lots à l'emplacement loué. Lors de la conclusion du contrat de vente litigieux, ils ont en outre reçu une copie du cahier de répartition des locaux, qui indique également l'existence formelle des deux lots 8.02 et 8.03 à l'emplacement que les appelants entendaient acquérir. En vertu de ces informations, ils devaient comprendre que leur chambre de bonne était en réalité composée de deux lots et se préoccuper sérieusement du sort de ceux-ci dans le cadre de la vente litigieuse. Le contrat de vente litigieux lui-même renvoie les acheteurs aux contenances du cadastre, ce qui devait attirer leur attention sur l'importance des données officielles relatives à la surface concernée par la vente. Par ailleurs, ce contrat mentionnait que la chambre d'une pièce qui leur était vendue avait une surface de 14 m2. Or, il était facile aux acheteurs de réaliser objectivement que la surface qu'ils achetaient, mentionnée dans le contrat de vente, était sensiblement inférieure à l'espace de 23 m2 dont ils disposaient en vertu de leur bail.</w:t>
      </w:r>
    </w:p>
    <w:p>
      <w:r>
        <w:t>Au regard de tous les éléments qui précèdent, les appelants ne pouvaient dès lors pas, de bonne foi, comprendre qu'ils achetaient aussi le lot no 8.02 à l'occasion de l'acquisition du lot no 8.03.</w:t>
      </w:r>
    </w:p>
    <w:p>
      <w:r>
        <w:t>- 11/13 -</w:t>
      </w:r>
    </w:p>
    <w:p>
      <w:r>
        <w:t>C/4341/2010 Finalement, il sera précisé que l'art. 973 al. 1 CC et la jurisprudence y relative, invoqués par les deux parties, ne concernent pas les appelants, puisqu'ils ne se sont pas fondés sur le Registre foncier, ni l'intimée, qui, ayant hérité des lots concernés de sa mère, n'est pas un tiers au sens de cette disposition. Pour le surplus, des circonstances particulières rendant évident que l'action en revendication de l'intimée est abusive font défaut (art. 2 al. 2 CC). L'intimée ignorait jusqu'en 2009 la réunion des lots susvisés, sans qu'une faute ne puisse lui être reprochée à cet égard. L'exercice de son droit de revendiquer aujourd'hui son bien ne contredit pas, dès lors, le fait qu'elle a laissé les appelants bénéficier des deux lots durant une certaine période.</w:t>
      </w:r>
    </w:p>
    <w:p>
      <w:r>
        <w:t>Compte tenu de ce qui précède, les appelants seront déboutés et le jugement entrepris sera confirmé.</w:t>
      </w:r>
    </w:p>
    <w:p>
      <w:r>
        <w:rPr>
          <w:b/>
        </w:rPr>
        <w:t>E. 4</w:t>
      </w:r>
    </w:p>
    <w:p>
      <w:r>
        <w:t>Les frais judiciaires d'appel seront fixés en fonction de la valeur litigieuse. Celle-ci correspond, dans une action en revendication, à la valeur de l'objet revendiqué (arrêt du Tribunal fédéral 4A_18/2011 consid. 1.1.1), en l'espèce, une surface PPE de 9 m2. La valeur de l'objet litigieux sera estimée à 32'143 fr. (9 m2 x 3'571 fr./m2), compte tenu du prix de vente du lot no 8.03 (50'000 fr. pour une surface de 14 m2). Les frais judiciaires seront, dès lors, fixés à 2'000 fr. (art. 95, 104 al. 1, 105 CPC, art. 17 et 35 RTFMC). Ils seront mis à la charge des appelants, qui succombent (art. 106 al. 1 CPC). Ces frais judiciaires sont compensés à hauteur de 1'200 fr. par l'avance de frais du même montant faite par les appelants, qui reste acquise à l'Etat de Genève (art. 111 CPC). L'appel joint étant irrecevable, les frais judiciaires y relatifs seront réduits à 1'500 fr. (art. 7 RTFMC). Ceux-ci sont compensés par l'avance de frais (6'000 fr.) faite par l'intimée qui reste acquise à l'Etat de Genève dans cette mesure (art. 111 CPC). En conséquence, un solde de 4'500 fr. sera restitué à l'intimée. Etant donné qu'ils succombent, les appelants seront condamnés aux dépens de l'appel (art. 106 al. 1 CPC). * * * * *</w:t>
      </w:r>
    </w:p>
    <w:p>
      <w:r>
        <w:t>- 12/13 -</w:t>
      </w:r>
    </w:p>
    <w:p>
      <w:r>
        <w:t>C/4341/2010 PAR CES MOTIFS, La Chambre civile : A la forme : Déclare recevable l'appel interjeté par A______ et B______ contre le jugement JTPI/14521/2012 rendu le 15 octobre 2012 par le Tribunal de première instance dans la cause C/4341/2010-1. Déclare irrecevable l'appel joint interjeté contre ce jugement par C______. Au fond : Confirme le jugement querellé. Déboute les parties de toutes autres conclusions. Sur les frais : Arrête les frais judiciaires d'appel à 2'000 fr. et les met à la charge de A______ et de B______. Dit que ces frais sont partiellement compensés par l'avance de frais de 1'200 fr. fournie par A______ et B______ qui reste acquise à l'Etat de Genève. Condamne en conséquence A______ et B______ au paiement de 800 fr. au titre de solde de frais judiciaires d'appel. Arrête les frais judiciaires de l'appel joint à 1'500 fr. Dit que ces frais sont compensés par l'avance de frais de 6'000 fr. fournie par C______ qui reste acquise à l'Etat de Genève dans cette mesure. Ordonne aux Services financiers du Pouvoir judiciaire de restituer à C______ le solde de 4'500 fr. versé à titre d'avance de frais de l'appel joint. Condamne A______ et B______ à verser à C______ un montant de 2'500 fr. à titre de dépens d'appel. Siégeant : Madame Valérie LAEMMEL-JUILLARD, présidente; Monsieur Pierre CURTIN, Madame Nathalie LANDRY-BARTHE, juges; Madame Barbara SPECKER, greffière.</w:t>
      </w:r>
    </w:p>
    <w:p>
      <w:r>
        <w:t>- 13/13 -</w:t>
      </w:r>
    </w:p>
    <w:p>
      <w:r>
        <w:t>C/4341/2010 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