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ACJC/542/2022 vom 19. April 2022</w:t>
      </w:r>
    </w:p>
    <w:p>
      <w:r>
        <w:t>GE Cour de justice, 2022-04-19, FR</w:t>
      </w:r>
    </w:p>
    <w:p>
      <w:r>
        <w:rPr>
          <w:b/>
        </w:rPr>
        <w:t xml:space="preserve">Quelle: </w:t>
      </w:r>
      <w:r>
        <w:t>https://mcp.opencaselaw.ch/entscheid/ge_gerichte_ACJC_542_2022</w:t>
      </w:r>
    </w:p>
    <w:p>
      <w:r>
        <w:t>FR: GE_GERICHTE ACJC/542/2022 du 19 avril 2022</w:t>
      </w:r>
    </w:p>
    <w:p>
      <w:r>
        <w:t>IT: GE_GERICHTE ACJC/542/2022 del 19 aprile 2022</w:t>
      </w:r>
    </w:p>
    <w:p>
      <w:pPr>
        <w:pStyle w:val="Heading2"/>
      </w:pPr>
      <w:r>
        <w:t>Erwägungen</w:t>
      </w:r>
    </w:p>
    <w:p>
      <w:r>
        <w:rPr>
          <w:b/>
        </w:rPr>
        <w:t>E. 6</w:t>
      </w:r>
    </w:p>
    <w:p>
      <w:r>
        <w:t>Enfin, l'intimée considère que le Tribunal a violé la loi en estimant que les conditions d'une consignation du loyer n'étaient pas réunies. Elle relève que la mise en demeure du 1er février 2019 était valable et que la consignation du loyer aurait dû être validée à compter du 1er mars 2019 pour les défauts admis par le Tribunal.</w:t>
      </w:r>
    </w:p>
    <w:p>
      <w:r>
        <w:rPr>
          <w:b/>
        </w:rPr>
        <w:t>E. 6.1</w:t>
      </w:r>
    </w:p>
    <w:p>
      <w:r>
        <w:t>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Cette disposition subordonne la validité formelle de la consignation à l'observation des deux conditions cumulatives suivantes: d'une part, le locataire doit demander au bailleur de réparer le défaut, en lui impartissant par écrit un délai raisonnable pour le faire; d'autre part, il doit le menacer par écrit de consigner le loyer, si le défaut n'est pas réparé dans le délai imparti (arrêt du Trinunal fédéral 4A_565/2009 du 21 janvier 2010 consid. 4.2 et les références citées).</w:t>
      </w:r>
    </w:p>
    <w:p>
      <w:r>
        <w:rPr>
          <w:b/>
        </w:rPr>
        <w:t>E. 6.2</w:t>
      </w:r>
    </w:p>
    <w:p>
      <w:r>
        <w:t>En l'occurrence, les conditions formelles nécessaires à la consignation de loyer n'ont pas été respectées lors de cette dernière en janvier 2018, puisque l'intimée n'avait pas préalablement demandé la réparation des défauts moyennant fixation d'un délai pour ce faire et menace de consignation du loyer. Qu'une telle mise en demeure ait eu lieu le 1er février 2019 ne suffit à réparer ce vice formel, puisqu'elle intervenait alors que les loyers avaient dans les faits déjà été consigné sans que le bailleur n'en eût été dûment informé. Le raisonnement du Tribunal sera partant confirmé.</w:t>
      </w:r>
    </w:p>
    <w:p>
      <w:r>
        <w:rPr>
          <w:b/>
        </w:rPr>
        <w:t>E. 7</w:t>
      </w:r>
    </w:p>
    <w:p>
      <w:r>
        <w:t>A teneur de l'art. 22 al. 1 LaCC, il n'est pas prélevé de frais dans les causes soumises à la juridiction des baux et loyers (ATF 139 III 182 consid. 2.6). * * * * *</w:t>
      </w:r>
    </w:p>
    <w:p>
      <w:r>
        <w:t>- 24/24 -</w:t>
      </w:r>
    </w:p>
    <w:p>
      <w:r>
        <w:t>C/4429/2018 PAR CES MOTIFS, La Chambre des baux et loyers :</w:t>
      </w:r>
    </w:p>
    <w:p>
      <w:r>
        <w:t>A la forme : Déclare recevables les appels interjetés le 6 juillet 2021 par A______ SA et le 8 juillet 2021 par B______ contre le jugement JTBL/491/2021 rendu le 1er juin 2021 par le Tribunal des baux et loyers dans la cause C/4429/2018.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