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ACJC/542/2015 vom 13. Mai 2015</w:t>
      </w:r>
    </w:p>
    <w:p>
      <w:r>
        <w:t>GE Cour de justice, 2015-05-13, FR</w:t>
      </w:r>
    </w:p>
    <w:p>
      <w:r>
        <w:rPr>
          <w:b/>
        </w:rPr>
        <w:t xml:space="preserve">Quelle: </w:t>
      </w:r>
      <w:r>
        <w:t>https://mcp.opencaselaw.ch/entscheid/ge_gerichte_ACJC_542_2015</w:t>
      </w:r>
    </w:p>
    <w:p>
      <w:r>
        <w:t>FR: GE_GERICHTE ACJC/542/2015 du 13 mai 2015</w:t>
      </w:r>
    </w:p>
    <w:p>
      <w:r>
        <w:t>IT: GE_GERICHTE ACJC/542/2015 del 13 maggio 2015</w:t>
      </w:r>
    </w:p>
    <w:p>
      <w:pPr>
        <w:pStyle w:val="Heading2"/>
      </w:pPr>
      <w:r>
        <w:t>Erwägungen</w:t>
      </w:r>
    </w:p>
    <w:p>
      <w:r>
        <w:rPr>
          <w:b/>
        </w:rPr>
        <w:t>E. 1.1</w:t>
      </w:r>
    </w:p>
    <w:p>
      <w:r>
        <w:t>L'appel est recevable contre les décisions finales de première instance,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Etant donné les conclusions des parties en première instance, la valeur litigieuse de 10'000 fr. est largement atteinte. Les appels ont été interjetés dans le délai de dix jours (art. 271 et 314 al. 1 CPC) et suivant la forme prescrite par la loi (art. 130, 131, 311 al. 1 CPC). Ils sont ainsi recevables.</w:t>
      </w:r>
    </w:p>
    <w:p>
      <w:r>
        <w:rPr>
          <w:b/>
        </w:rPr>
        <w:t>E. 1.2</w:t>
      </w:r>
    </w:p>
    <w:p>
      <w:r>
        <w:t>Par souci de simplification et pour respecter le rôle initial des parties devant la Cour, A______ sera désignée en qualité d'appelante et B______ en qualité d'intimé.</w:t>
      </w:r>
    </w:p>
    <w:p>
      <w:r>
        <w:rPr>
          <w:b/>
        </w:rPr>
        <w:t>E. 1.3</w:t>
      </w:r>
    </w:p>
    <w:p>
      <w:r>
        <w:t>La Cour revoit la cause avec un plein pouvoir d'examen (art. 310 CPC; HOHL, Procédure civile, tome II, 2010, n. 2314 et 2416; RÉTORNAZ, L'appel et le recours, in Procédure civile suisse, 2010, p. 349 ss, n. 121). S'agissant de la contribution d'entretien des enfants mineurs lors de l'introduction de la procédure, les maximes d'office et inquisitoire illimitée s'appliquent (art. 296 al. 1 et 3, 55 al. 2 et 58 al. 2 CPC; ATF 129 III 417 consid. 2.1.2; 128 III 411 consid. 3.2.2; arrêt du Tribunal fédéral 5A_906/2012 du 18 avril 2013 consid. 6.1.1).</w:t>
      </w:r>
    </w:p>
    <w:p>
      <w:r>
        <w:rPr>
          <w:b/>
        </w:rPr>
        <w:t>E. 1.4</w:t>
      </w:r>
    </w:p>
    <w:p>
      <w:r>
        <w:t>La Cour est compétente ratione loci et le droit suisse est applicable, en raison du domicile de l'enfant C______ (art. 79 al. 1 et 83 al. 1 LDIP et art. 4 de la convention de La Haye du 2 octobre 1973 sur la loi applicable aux obligations alimentaires).</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w:t>
      </w:r>
    </w:p>
    <w:p>
      <w:r>
        <w:t>- 6/11 -</w:t>
      </w:r>
    </w:p>
    <w:p>
      <w:r>
        <w:t>C/19949/2013 (ACJC/18/2015 du 9 janvier 2015 consid. 2.1; ACJC/1533/2014 du 12 décembre 2014 consid. 2.1; ACJC/1209/2014 du 10 octobre 2014 consid. 2; TREZZINI, in Commentario al Codice di diritto processuale civile svizzero (CPC), Cocchi/Trezzini/Bernasconi [éd.], 2011, p. 1394; TAPPY, Les voies de droit du nouveau Code de procédure civile, in JdT 2010 III p. 115 ss, 139).</w:t>
      </w:r>
    </w:p>
    <w:p>
      <w:r>
        <w:rPr>
          <w:b/>
        </w:rPr>
        <w:t>E. 2.2</w:t>
      </w:r>
    </w:p>
    <w:p>
      <w:r>
        <w:t>Les pièces produites par l'intimé en appel sont des pièces relatives à sa situation financière, sur la base de laquelle sera calculée la contribution due à l'entretien de l'enfant mineur. Elles seront, dès lors, déclarées recevables.</w:t>
      </w:r>
    </w:p>
    <w:p>
      <w:r>
        <w:rPr>
          <w:b/>
        </w:rPr>
        <w:t>E. 3.1</w:t>
      </w:r>
    </w:p>
    <w:p>
      <w:r>
        <w:t>Selon l'art. 286 al. 2 CC, applicable par le renvoi de l'art. 134 al. 2 CC, si la situation change notablement, le juge modifie ou supprime la contribution d'entretien due à l'enfant, à la demande du père, de la mère ou du mineur.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Parmi celles-ci figurent la détérioration, depuis le jugement de divorce, de la situation financière du débirentier (ATF 134 III 337 consid. 2.2.2; arrêts du Tribunal fédéral 5A_66/2011 du 7 juin 2011 consid. 5.1; 5A_326/2009 du 24 décembre 2009 consid. 2.1 = SJ 2010 I p. 538).</w:t>
      </w:r>
    </w:p>
    <w:p>
      <w:r>
        <w:t>La survenance d'un fait nouveau important et durable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w:t>
      </w:r>
    </w:p>
    <w:p>
      <w:r>
        <w:rPr>
          <w:b/>
        </w:rPr>
        <w:t>E. 3.2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123 III 1 consid. 3b/bb et 5). S'agissant toutefois de l'obligation d'entretien d'un enfant mineur, les exigences à l'égard des père et mère sont élevées, en sorte que ceux-ci doivent réellement épuiser leur capacité maximale de travail et ne peuvent pas librement choisir de modifier leurs</w:t>
      </w:r>
    </w:p>
    <w:p>
      <w:r>
        <w:t>- 7/11 -</w:t>
      </w:r>
    </w:p>
    <w:p>
      <w:r>
        <w:t>C/19949/2013 conditions de vie si cela a une influence sur leur capacité à subvenir aux besoins de l'enfant mineur (ATF 137 III 118 consid. 3.1 p. 121;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publié in : FamPra.ch 2012 p. 228). 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5A_587/2013 du 26 novembre 2013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5A_120/2014 du 2 septembre 2014 consid. 4.1; 5A_662/2013 du 24 juin 2014 consid. 3.2.2; 5A_243/2013 du 24 juillet 2013 consid. 2.1; 5A_99/2011 du 26 septembre 2011 consid. 7.4.1).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3.3.1 En l'espèce, seule est litigieuse l'influence de la modification des revenus de l'intimé sur la contribution à l'entretien de sa fille. Lors du divorce en 2003, il avait un revenu mensuel de 4'405 fr. en tant que chef de rang à la E______. Ses charges ne sont pas connues. Il a résilié son contrat en 2006 afin de se lancer dans la restauration. Ses revenus jusqu'en 2010 sont inconnus mais étaient suffisants pour continuer à verser la contribution d'entretien due. En 2011, l'intimé réalisait un salaire mensuel d'environ 4'333 fr. dans une activité indéterminée.</w:t>
      </w:r>
    </w:p>
    <w:p>
      <w:r>
        <w:t>- 8/11 -</w:t>
      </w:r>
    </w:p>
    <w:p>
      <w:r>
        <w:t>C/19949/2013 La situation de l'intimé et l'évolution de ses revenus depuis lors demeurent opaques. Il a travaillé dans le restaurant de sa compagne en 2012, mais ses revenus ne sont pas démontrés. A une date indéterminée en 2013, l'intimé a cessé cette activité, à la suite de la cessation de l'exploitation dudit restaurant par sa compagne, et a accepté un emploi de livreur-chauffeur. A ce poste, il a perçu, en juin 2013, un salaire de 1'632 fr. Ne fournissant qu'un seul relevé de salaire, l'intimé ne démontre pas que ce montant serait représentatif de ses revenus de l'époque. L'intimé n'a pas non plus démontré avoir recherché une autre occupation, mieux rémunérée. En février 2014, l'intimé allègue avoir quitté son emploi de livreur-chauffeur, pour suivre sa compagne qui a repris un restaurant en Valais, dans lequel il travaille. Les pièces produites à ce titre se limitent à une attestation de la compagne et de la première page de deux contrats de bail, non signés et non datés et sur lesquels les dates de début de bail n'apparaissent pas. Selon l'intimé, il percevrait uniquement un salaire en nature et ne gagera, à terme, que 2'000 fr. brut. L'intimé indique qu'à 54 ans, il n'est pas en mesure de se reconstruire une situation professionnelle adéquate et que, s'il quitte le restaurant de sa compagne, il n'aura plus de logement ni de ressources et verra sa situation financière empirer. 3.3.2 L'intimé ne fait état d'aucune tentative, depuis fin 2012, de maintenir, respectivement augmenter ses revenus à un montant équivalent à son salaire lors du mariage, lui permettant de payer la contribution d'entretien à sa fille. En particulier, il ne démontre pas avoir cherché un emploi dans la distribution ou dans la restauration, deux domaines dans lesquels il a plusieurs années d'expérience. En choisissant dans un premier temps d'abandonner son activité dans la restauration pour devenir livreur-chauffeur et dans un deuxième temps de suivre sa compagne pour travailler dans son restaurant en Valais, sans percevoir de salaire, alors même qu'il doit assumer une charge d'entretien de sa fille, l'intimé n'a pas réellement épuisé sa capacité maximale de travail. On ne peut considérer qu'il a concrètement entrepris tout ce qui pouvait raisonnablement être attendu de lui pour retrouver une activité professionnelle avec un salaire équivalent à celui qu'il gagnait lors du divorce. Au-delà d'une référence générale à son âge de 54 ans, l'intimé ne démontre pas pourquoi il serait incapable de trouver un emploi dans la restauration, pour une rémunération au moins équivalente au salaire mensuel minimum de 3'407 fr., fixé par la convention collective de travail pour l'hôtellerie-restauration suisse pour l'année 2015, pour un employé sans formation et sans apprentissage, alors même qu'il a plus de cinq ans d'expérience dans la branche.</w:t>
      </w:r>
    </w:p>
    <w:p>
      <w:r>
        <w:t>- 9/11 -</w:t>
      </w:r>
    </w:p>
    <w:p>
      <w:r>
        <w:t>C/19949/2013 Ce salaire lui permettrait en particulier, après avoir couvert le montant de base selon les normes OP (850 fr., soit la moitié du montant de 1'700 fr. pour un couple), une participation à son loyer évaluée à 1'000 fr. et son assurance-maladie d'environ 370 fr., dans la mesure où il la paierait à nouveau, de verser la contribution d'entretien de 800 fr. et de jouir d'un disponible de plus de 300 fr. Le seul fait qu'il ait subi des déboires dans son activité indépendante dans le restaurant entre 2006 et 2010 n'excluait pas d'emblée qu'il retrouve une activité dans la restauration pour un salaire d'au moins 3'400 fr. Le risque abstrait de perdre l'appui de sa compagne actuelle, s'il quitte son poste dans le restaurant exploité par cette dernière en Valais, ne justifie pas non plus que l'intimé ait renoncé à chercher un travail avec une rémunération équitable, lui permettant d'assumer ses obligations à l'égard de sa fille. Il n'allègue pas, pour le surplus, avoir des problèmes de santé. 3.3.3 Il y a ainsi lieu d'imputer à l'intimé le salaire hypothétique qu'il aurait pu réaliser dans le domaine de la restauration, évalué à, au moins, 3'400 fr., et ce, dès le dépôt de la requête en modification de la contribution en septembre 2013, dans la mesure où l'intimé travaillait alors depuis trois mois comme livreur-chauffeur et aurait dû, dans ce délai, trouver un travail mieux rémunéré. Sur cette base, le revenu de l'intimé a certes diminué, depuis le divorce, d'un montant inférieur ou égal à 1'000 fr. Cependant, ses charges se sont également réduites. En effet, il vit à présent en couple, réduisant son montant de base selon les normes OP de 1'200 fr. à 850 fr. Par ailleurs, il ne paie pas de loyer et ne paie vraisemblablement pas son assurance-maladie. Au demeurant et comme démontré ci-dessus, même en tenant compte d'une participation au loyer et du paiement de l'assurance-maladie, le revenu hypothétique imputé à l'intimé lui permet de payer la contribution d'entretien fixée à l'époque du divorce et de conserver un disponible d'environ 300 fr. Dès lors, la capacité contributive actuelle de l'intimé n'est pas significativement inférieure à sa capacité au moment du jugement de divorce, alors que la situation de l'enfant C______ reste difficile, sa mère étant sans travail et uniquement soutenue par l'Hospice Général. La Cour de céans n'identifie donc aucun fait nouveau important et durable rendant la charge d'entretien déséquilibrée. Dès lors, aucune modification, même temporaire, de la contribution d'entretien fixée dans le chiffre 4 du dispositif du jugement JTPI/9364/2003 rendu par le Tribunal le 9 septembre 2003 dans la cause C/3752/2003, ne se justifie.</w:t>
      </w:r>
    </w:p>
    <w:p>
      <w:r>
        <w:t>- 10/11 -</w:t>
      </w:r>
    </w:p>
    <w:p>
      <w:r>
        <w:t>C/19949/2013 Les chiffres 1, 2 et 4 du jugement entrepris seront annulés et il sera constaté qu'il n'y a pas lieu de modifier le jugement de divorce JTPI/9364/2003.</w:t>
      </w:r>
    </w:p>
    <w:p>
      <w:r>
        <w:rPr>
          <w:b/>
        </w:rPr>
        <w:t>E. 4</w:t>
      </w:r>
    </w:p>
    <w:p>
      <w:r>
        <w:t>septembre 2014 contre le jugement JTPI/8163/2014 rendu le 30 juin 2014 par le Tribunal de première instance dans la cause C/19949/2013-4. Au fond : Annule les chiffres 1, 2 et 4 du jugement entrepris. Confirme en toutes ses dispositions le jugement de divorce JTPI/9364/2003. Déboute les parties de toutes autres conclusions. Sur les frais : Arrête les frais judiciaires d'appel à 2'000 fr. et les met à la charge d'B______. Dit que l'Etat de Genève supporte provisoirement ces frais judiciaires.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