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ACJC/541/2015 vom 13. Mai 2015</w:t>
      </w:r>
    </w:p>
    <w:p>
      <w:r>
        <w:t>GE Cour de justice, 2015-05-13, FR</w:t>
      </w:r>
    </w:p>
    <w:p>
      <w:r>
        <w:rPr>
          <w:b/>
        </w:rPr>
        <w:t xml:space="preserve">Quelle: </w:t>
      </w:r>
      <w:r>
        <w:t>https://mcp.opencaselaw.ch/entscheid/ge_gerichte_ACJC_541_2015</w:t>
      </w:r>
    </w:p>
    <w:p>
      <w:r>
        <w:t>FR: GE_GERICHTE ACJC/541/2015 du 13 mai 2015</w:t>
      </w:r>
    </w:p>
    <w:p>
      <w:r>
        <w:t>IT: GE_GERICHTE ACJC/541/2015 del 13 maggio 2015</w:t>
      </w:r>
    </w:p>
    <w:p>
      <w:pPr>
        <w:pStyle w:val="Heading2"/>
      </w:pPr>
      <w:r>
        <w:t>Erwägungen</w:t>
      </w:r>
    </w:p>
    <w:p>
      <w:r>
        <w:rPr>
          <w:b/>
        </w:rPr>
        <w:t>E. 1.1</w:t>
      </w:r>
    </w:p>
    <w:p>
      <w:r>
        <w:t>Le prononcé d'un avis aux débiteurs fondé sur l'art. 291 CC constitue une mesure d'exécution privilégiée sui generis,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SJ 2012 I 68 ; ATF 134 III 667 consid. 1.1 arrêt du Tribunal fédéral 5D_150/2010 du 13 janvier 2011 consid. 1; JEANDIN, in Code de procédure civile commenté, Bâle 2011, n. 7 ad art. 308 CPC).</w:t>
      </w:r>
    </w:p>
    <w:p>
      <w:r>
        <w:t>Cette décision n'émanant toutefois pas du tribunal de l'exécution mais du juge civil, la voie de l'appel est ouverte (art. 308 al. 1 let. b et 309 al. 1 CPC a contrario).</w:t>
      </w:r>
    </w:p>
    <w:p>
      <w:r>
        <w:t>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w:t>
      </w:r>
    </w:p>
    <w:p>
      <w:r>
        <w:rPr>
          <w:b/>
        </w:rPr>
        <w:t>E. 1.2</w:t>
      </w:r>
    </w:p>
    <w:p>
      <w:r>
        <w:t>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w:t>
      </w:r>
    </w:p>
    <w:p>
      <w:r>
        <w:rPr>
          <w:b/>
        </w:rPr>
        <w:t>E. 1.3</w:t>
      </w:r>
    </w:p>
    <w:p>
      <w:r>
        <w:t>La présente procédure est, en outre, régie par les maximes inquisitoire et d'office illimitées, dans la mesure où elle porte exclusivement sur la contribution à l'entretien des enfants mineurs (art. 296 CPC).</w:t>
      </w:r>
    </w:p>
    <w:p>
      <w:r>
        <w:rPr>
          <w:b/>
        </w:rPr>
        <w:t>E. 1.4</w:t>
      </w:r>
    </w:p>
    <w:p>
      <w:r>
        <w:t>La Cour revoit la cause avec un plein pouvoir d'examen, tant en fait qu'en droit (art. 310 CPC), dans la limite des seuls points soumis à sa cognition par les parties (ATF 137 III 617 consid. 4.5.3 et 5.2).</w:t>
      </w:r>
    </w:p>
    <w:p>
      <w:r>
        <w:t>- 7/11 -</w:t>
      </w:r>
    </w:p>
    <w:p>
      <w:r>
        <w:t>C/10121/2014</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 la cause est régie par les maximes d'office et inquisitoire illimitées concernant les enfants mineurs, tous les nova sont admis en appel, selon la jurisprudence de la Cour de céans (ACJC/749/2013; ACJC/1064/2013; dans le même sens : TREZZINI, in Commentario al Codice di diritto processuale civile svizzero (CPC), 2011, p. 1394; TAPPY, Les voies de droit du nouveau Code de procédure civile, JdT 2010 III p. 115 ss, p. 139).</w:t>
      </w:r>
    </w:p>
    <w:p>
      <w:r>
        <w:t>Au vu de cette règle, toutes les pièces nouvelles produites par les parties sont recevables.</w:t>
      </w:r>
    </w:p>
    <w:p>
      <w:r>
        <w:rPr>
          <w:b/>
        </w:rPr>
        <w:t>E. 3</w:t>
      </w:r>
    </w:p>
    <w:p>
      <w:r>
        <w:t>L'appelant fait valoir que les conditions pour qu'un avis aux débiteurs soit ordonné ne sont pas réalisées en l'espèce. Plus particulièrement, il considère qu'il n'existe aucun indice permettant de retenir qu'à l'avenir il ne s'acquittera pas de son obligation et que l'avis aux débiteurs serait en outre disproportionné.</w:t>
      </w:r>
    </w:p>
    <w:p>
      <w:r>
        <w:rPr>
          <w:b/>
        </w:rPr>
        <w:t>E. 3.1</w:t>
      </w:r>
    </w:p>
    <w:p>
      <w:r>
        <w:t>Selon l'art. 291 CC, lorsque les père et mère négligent de prendre soin de l'enfant, le juge peut ordonner à leurs débiteurs d'opérer tout ou partie de leurs paiements entre les mains du représentant légal de l'enfant.</w:t>
      </w:r>
    </w:p>
    <w:p>
      <w:r>
        <w:t>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ATF 110 II 9 consid. 4b; RFJ 1998 318,320; BASTONS BULLETTI, Commentaire romand CC I, n. 9 ad art. 291 CC; TSCHUMY, Les contributions d'entretien et l'exécution forcée. Deux cas d'application, l'avis du débiteur et la participation privilégiée à la saisie, in JdT 2006 II 17 et ss).</w:t>
      </w:r>
    </w:p>
    <w:p>
      <w:r>
        <w:t>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(arrêts du Tribunal fédéral 5A_958/2012 du 27 juillet 2013 consid. 2.3.2.1; 5A_236/2011 du 18 octobre 2011 consid. 5.3 et les réf. citées). Des indices en ce sens sont suffisants s'ils reposent sur des circonstances concrètes, telles que les déclarations</w:t>
      </w:r>
    </w:p>
    <w:p>
      <w:r>
        <w:t>- 8/11 -</w:t>
      </w:r>
    </w:p>
    <w:p>
      <w:r>
        <w:t>C/10121/2014 d'une partie en justice ou son désintérêt de la procédure; le juge dispose d'un large pouvoir d'appréciation (arrêt du Tribunal fédéral 5A_464/2012 du 30 novembre 2012 consid. 5.3, CHAIX, Commentaire romand CC I, n. 9 ad art. 11 CC).</w:t>
      </w:r>
    </w:p>
    <w:p>
      <w:r>
        <w:t>Le juge saisi de la requête d'avis aux débiteurs statue en équité, en tenant compte des circonstances de l'espèce (art. 4 CC; arrêt du Tribunal fédéral 5A_958/2012 précité consid. 2.3.2.2).</w:t>
      </w:r>
    </w:p>
    <w:p>
      <w:r>
        <w:t>Il est indéniable que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Il convient ainsi d'apprécier cette éventualité au regard des circonstances de l'espèce, et, plus particulièrement, de la situation des créanciers d'entretien (arrêt du Tribunal fédéral 5A_958/2012 précité consid. 3.2).</w:t>
      </w:r>
    </w:p>
    <w:p>
      <w:r>
        <w:rPr>
          <w:b/>
        </w:rPr>
        <w:t>E. 3.2</w:t>
      </w:r>
    </w:p>
    <w:p>
      <w:r>
        <w:t>En l'espèce, l'obligation d'entretien de l'appelant relève de son propre engagement à verser la somme globale de 8'000 fr. en faveur de ses enfants, dont la teneur a été entérinée par le juge du divorce en janvier 2013. Il n'est pas contesté que, malgré cet engagement personnel et le caractère exécutoire du jugement de divorce, l'appelant a volontairement et de son propre chef cessé tout paiement relatif à la contribution d'entretien de ses enfants quatre mois déjà après le prononcé du divorce.</w:t>
      </w:r>
    </w:p>
    <w:p>
      <w:r>
        <w:t>Les raisons qu'il allègue pour tenter de justifier son défaut de paiement, soit les difficultés rencontrées dans l'exercice de son autorité parentale et de son droit de visite, ne le libéraient toutefois pas de son obligation d'entretien. Faisant fi de ses propres engagements et du jugement de divorce passé en force, l'appelant ne s'est plus acquitté de ses obligations pendant une année, soit de juin 2013 à juin 2014, alors même qu'il était conscient de son devoir d'entretien et qu'il disposait des ressources financières suffisantes pour s'acquitter des sommes dues.</w:t>
      </w:r>
    </w:p>
    <w:p>
      <w:r>
        <w:t>Dès lors, compte tenu de leur motivation et de leur durée, les manquements de l'appelant constituent un défaut caractérisé de paiement, au sens de la jurisprudence précitée.</w:t>
      </w:r>
    </w:p>
    <w:p>
      <w:r>
        <w:t>Bien que l'appelant ait finalement soldé les arriérés de contribution, ce règlement n'est intervenu qu'à la suite de différentes procédures intentées par l'intimée. En effet, cette dernière a déposé trois plaintes pénales entre septembre 2013 et mai 2014, sans pour autant que l'appelant ne réagisse. Ses allégations selon lesquelles il aurait consigné le montant des contributions échues n'ont pas été rendues vraisemblables. L'intimée a ensuite obtenu le séquestre des avoirs bancaires de l'appelant à hauteur de 110'000 fr., ce qui l'a incité à reprendre les paiements, lesquels sont intervenus après le dépôt de la requête d'avis aux débiteurs ayant donné lieu à la présente procédure.</w:t>
      </w:r>
    </w:p>
    <w:p>
      <w:r>
        <w:t>- 9/11 -</w:t>
      </w:r>
    </w:p>
    <w:p>
      <w:r>
        <w:t>C/10121/2014</w:t>
      </w:r>
    </w:p>
    <w:p>
      <w:r>
        <w:t>Dans ce contexte, le seul engagement de l'appelant ne permet à l'évidence pas de retenir qu'à l'avenir il s'acquittera régulièrement de la contribution due pour ses enfants, ce d'autant plus que les difficultés qui ont motivé son défaut de paiement semblent perdurer, puisqu'elles découlent d'une mésentente persistante entre l'appelant et l'intimée. A cela s'ajoute le fait que les parties s'opposent actuellement devant la Cour de justice dans le cadre d'une action en modification du jugement de divorce, l'appelant ayant pour sa part sollicité une réduction de la contribution d'entretien mise à sa charge.</w:t>
      </w:r>
    </w:p>
    <w:p>
      <w:r>
        <w:t>Tous ces éléments font craindre qu'à l'avenir l'appelant puisse à nouveau ne pas respecter ses obligations alimentaires.</w:t>
      </w:r>
    </w:p>
    <w:p>
      <w:r>
        <w:t>L'appelant fait encore valoir que la mesure d'avis aux débiteurs viole le principe de proportionnalité, en raison du fait qu'elle est susceptible de ternir son image et sa réputation et de compromettre sa place de travail, dès lors qu'il est employé en qualité de dirigeant du bureau de représentation russe de la C______ et qu'il se trouve encore dans la période d'essai.</w:t>
      </w:r>
    </w:p>
    <w:p>
      <w:r>
        <w:t>La motivation de l'appelant se limite toutefois à des considérations toutes générales, qui découlent du principe même d'un avis aux débiteurs (cf. consid. 3.1). Ne reposant sur aucun élément concret, les risques professionnels qu'il allègue ne sont pas rendus vraisemblables, tandis que les manquements graves qui lui sont reprochés sont avérés. De plus, la période d'essai de l'appelant est terminée depuis le 1er janvier 2015, de sorte que son engagement est à ce jour confirmé. Ainsi, contrairement à ce que soutient l'appelant, l'avis aux débiteurs ne viole pas le principe de la proportionnalité. Le fait qu'il perçoive son salaire en roubles sur son compte bancaire ouvert auprès d'une banque russe n'y change rien. Seul est en effet déterminant le fait que son employeur soit C______ sise à Zurich, et non l'entité moscovite, tel que cela ressort de son contrat de travail, ce qu'il ne conteste au demeurant pas.</w:t>
      </w:r>
    </w:p>
    <w:p>
      <w:r>
        <w:t>Les considérations qui précèdent conduisent à la confirmation du jugement querellé, dès lors que les autres conditions relatives au prononcé d'un avis aux débiteurs ne sont pas contestées.</w:t>
      </w:r>
    </w:p>
    <w:p>
      <w:r>
        <w:rPr>
          <w:b/>
        </w:rPr>
        <w:t>E. 4</w:t>
      </w:r>
    </w:p>
    <w:p>
      <w:r>
        <w:t>L'appelant, qui succombe, sera condamné aux frais d'appel, ceux-ci étant fixés à 2'000 fr. (art. 104 al. 1, 105 al. 1 et 106 al. 1 CPC; art. 33 et 35 RTFMC) et partiellement compensés avec l'avance de frais de 1'250 fr. fournie par l'appelant, qui reste acquise à l'Etat (art. 111 al. 1 CPC). L'appelant sera en conséquence condamné à s'acquitter du solde, soit 750 fr.</w:t>
      </w:r>
    </w:p>
    <w:p>
      <w:r>
        <w:t>Il sera également condamné aux dépens de l'intimée, arrêtés en appel à 2'000 fr., débours et TVA compris (art. 95 CPC; art. 85 et 90 RTFMC; art. 23 al. 1 , 25 et 26 LaCC).</w:t>
      </w:r>
    </w:p>
    <w:p>
      <w:r>
        <w:t>- 10/11 -</w:t>
      </w:r>
    </w:p>
    <w:p>
      <w:r>
        <w:t>C/10121/2014</w:t>
      </w:r>
    </w:p>
    <w:p>
      <w:r>
        <w:rPr>
          <w:b/>
        </w:rPr>
        <w:t>E. 5</w:t>
      </w:r>
    </w:p>
    <w:p>
      <w:r>
        <w:t>La valeur litigieuse étant supérieure à 30'000 fr. (art. 51 al. 4 LTF), le présent arrêt est susceptible d'un recours en matière civile au Tribunal fédéral. * * * * *</w:t>
      </w:r>
    </w:p>
    <w:p>
      <w:r>
        <w:t>- 11/11 -</w:t>
      </w:r>
    </w:p>
    <w:p>
      <w:r>
        <w:t>C/10121/2014 PAR CES MOTIFS, La Chambre civile : A la forme : Déclare recevable l'appel interjeté par A______ contre le jugement JTPI/14688/2014 rendu le 24 novembre 2014 par le Tribunal de première instance dans la cause C/10121/2014. Au fond : Confirme ce jugement. Déboute les parties de toutes autres conclusions. Sur les frais : Arrête les frais judiciaires d'appel à 2'000 fr. Les met à la charge de A______ et les compense partiellement avec l'avance de frais de 1'250 fr., qui reste acquise à l'Etat de Genève. Condamne en conséquence A______ à payer à l'Etat de Genève, soit pour lui les Services financiers du Pouvoir judiciaire, la somme de 750 fr. Condamne A______ à verser à B______ la somme de 2'000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