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ACJC/540/2022 vom 19. April 2022</w:t>
      </w:r>
    </w:p>
    <w:p>
      <w:r>
        <w:t>GE Cour de justice, 2022-04-19, FR</w:t>
      </w:r>
    </w:p>
    <w:p>
      <w:r>
        <w:rPr>
          <w:b/>
        </w:rPr>
        <w:t xml:space="preserve">Quelle: </w:t>
      </w:r>
      <w:r>
        <w:t>https://mcp.opencaselaw.ch/entscheid/ge_gerichte_ACJC_540_2022</w:t>
      </w:r>
    </w:p>
    <w:p>
      <w:r>
        <w:t>FR: GE_GERICHTE ACJC/540/2022 du 19 avril 2022</w:t>
      </w:r>
    </w:p>
    <w:p>
      <w:r>
        <w:t>IT: GE_GERICHTE ACJC/540/2022 del 19 aprile 2022</w:t>
      </w:r>
    </w:p>
    <w:p>
      <w:pPr>
        <w:pStyle w:val="Heading2"/>
      </w:pPr>
      <w:r>
        <w:t>Erwägungen</w:t>
      </w:r>
    </w:p>
    <w:p>
      <w:r>
        <w:rPr>
          <w:b/>
        </w:rPr>
        <w:t>E. 18</w:t>
      </w:r>
    </w:p>
    <w:p>
      <w:r>
        <w:t>juillet 1991, un acte de donation du 11 mars 2019 mentionnant une valeur vénale brute de l'immeuble de 1'590'000 fr., le détail des intérêts hypothécaires faisant état d'un capital dû à la fin 2016 de 800'000 fr. et de taux d'intérêts de 3.7% en 2014 et 2015 et de 2.13% en 2016, les comptes de gestion et états locatifs des années 2014 à 2016 faisant état de charges - hors intérêts hypothécaires en 29'600 fr. et impôt immobilier en 363 fr. 50 - de 9'234 fr. 85 en 2015 et 23'641 fr. 88 en 2016 et une preuve du versement de 28'710 fr. en faveur des locataires, soit l'équivalent du trop-perçu calculé sur la base du taux de rendement arrêté par le jugement JTBL/275/2020. Dans son courrier d'accompagnement, la bailleresse a précisé que l'immeuble avait été grevé d'une seule hypothèque de 800'000 fr., dont les intérêts avaient été de 3.7% en 2014 et pour les mois de janvier à mars 2015 et de 2.13% pour le solde de l'année 2015 et pour 2016. p. Le 11 mars 2021, les locataires ont procédé à un nouveau calcul de rendement, fondé sur la nouvelle jurisprudence du Tribunal fédéral, selon lequel le loyer annuel admissible s'élève à 15'552 fr. Ils ont confirmé avoir reçu la somme de 28'710 fr. de la bailleresse et quitté l'appartement le 15 juillet 2020, le contrat de bail à loyer ayant duré 32 mois. Ils ont pris de nouvelles conclusions, tendant à ce que le loyer, charges non comprises, soit fixé à 15'552 fr. par année et à ce qu'il soit ordonné à la bailleresse de leur rembourser le trop-perçu de loyer de 44'928 fr. dont à déduire la somme de 28'710 fr., soit un montant résiduel de 16'218 fr.</w:t>
      </w:r>
    </w:p>
    <w:p>
      <w:r>
        <w:t>- 6/12 -</w:t>
      </w:r>
    </w:p>
    <w:p>
      <w:r>
        <w:t>C/29306/2017 q. Dans les plaidoiries finales écrites du 19 avril 2021, les locataires ont persisté dans leurs conclusions. De son côté, la bailleresse a conclu, principalement, à ce que les locataires soient déboutés de leurs conclusions et, subsidiairement, à ce que le loyer annuel soit fixé à 21'960 fr., hors charges. Elle a notamment allégué que le montant des travaux à plus-value était supérieur à 500'000 fr. et que l'appartement bénéficiait de meilleures prestations que les deux autres appartements, à savoir l'accès à un jardin et à deux places de parc. Les locataires ont répliqué par courrier du 6 mai 2021, puis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1.2 En l'espèce, les appelants contestent le loyer initial de 32'400 fr. et requièrent que celui-ci soit fixé à 15'552 fr. La valeur litigieuse, qui s'élève à 336'960 fr. ((32'400 fr. – 15'552 fr.) x 20 ans), est donc supérieure à 10'000 fr. La voie de l'appel est ainsi ouverte. 1.3 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et 311 al. 1 CPC). Il est ainsi recevable. 1.4 La Cour revoit la cause avec un plein pouvoir d'examen (art. 310 CPC; HOHL, Procédure civile, tome II, 2ème éd., 2010, n. 2314 et 2416; RETORNAZ in : Procédure civile suisse, Les grands thèmes pour les praticiens, Neuchâtel, 2010, p. 349 ss, n. 121).</w:t>
      </w:r>
    </w:p>
    <w:p>
      <w:r>
        <w:t>- 7/12 -</w:t>
      </w:r>
    </w:p>
    <w:p>
      <w:r>
        <w:t>C/29306/2017 2. Les appelants font grief au Tribunal d'avoir violé l'art. 269 CO, en retenant l'emprunt complémentaire de 450'000 fr. tant à titre de fonds propres qu'à titre de fonds empruntés dans l'établissement du calcul de rendement.</w:t>
      </w:r>
    </w:p>
    <w:p>
      <w:r>
        <w:t>2.1 Le loyer est abusif lorsqu'il permet au bailleur d'obtenir un rendement excessif de la chose louée (art. 269 CO). Le rendement visé par cette disposition est le rendement net des fonds propres investis (ATF 141 III 245; arrêt du Tribunal fédéral 4A_554/2019 du 26 octobre 2020 consid. 4.1.1.).</w:t>
      </w:r>
    </w:p>
    <w:p>
      <w:r>
        <w:t>Les fonds propres investis par le propriétaire correspondent au coût initial de la chose louée, déduction faite des fonds étrangers (ATF 122 III 257, 117 II 77). Pour déterminer le montant des fonds propres investis, il faut partir du coût de revient effectif de l'immeuble, à moins que le prix d'achat de celui-ci ne soit manifestement exagéré, et en soustraire le montant des fonds étrangers (emprunts du propriétaire garantis ou non par l'hypothèque).</w:t>
      </w:r>
    </w:p>
    <w:p>
      <w:r>
        <w:t>La jurisprudence admet un correctif au prix d'acquisition lorsque le bailleur a acquis le bien à un prix préférentiel, par exemple dans le cadre d'une donation mixte, au motif que l'avantage consenti à celui-ci est destiné exclusivement à le favoriser lui, et non pas ses locataires (arrêt du Tribunal fédéral 4A_645/2011 du 27 janvier 2012 consid. 3.4.4 et les arrêts cités).</w:t>
      </w:r>
    </w:p>
    <w:p>
      <w:r>
        <w:t>Les travaux à plus-value financés par des fonds propres sont pris en compte dans le calcul de rendement (ATF 123 III 171, BOHNET, CPra Bail, 2ème édition, n. 25 ad art. 269 CO). Le coût de ces travaux s'ajoute à la valeur d'origine de l'immeuble à concurrence des nouveaux fonds propres, étant précisé qu'en principe, seule la plus-value réelle à l'exclusion de la plus-value théorique découlant de l'art. 14 al. 1 OBLF est déterminante (ACJC/721/2012 du 21 mai 2012).</w:t>
      </w:r>
    </w:p>
    <w:p>
      <w:r>
        <w:t>Concernant les charges financières, elles correspondent à la rémunération des fonds empruntés (intérêts hypothécaires et autres intérêts dus à des tiers) (ATF 121 III 319 consid. 5b/dd). Seuls les fonds étrangers initiaux sont pris en compte (ATF 123 III 171 consid. 6a et 6b, BOHNET, op. cit., n. 60 ad art. 269 CO).</w:t>
      </w:r>
    </w:p>
    <w:p>
      <w:r>
        <w:t>Enfin, les bailleurs doivent procéder à une ventilation des comptes appartement par appartement. La valeur des parts peut être pondérée en fonction d'éléments qualitatifs lorsque des différences sensibles existent entre les différents logements (arrêt du Tribunal fédéral 4A_35/2008 du 13 juin 2008 consid. 4.3 et 4A_219/2007 du 26 novembre 2007 consid. 3.2.2, BOHNET, op. cit., n 13 ad art. 269 CO).</w:t>
      </w:r>
    </w:p>
    <w:p>
      <w:r>
        <w:t>2.2 En l'espèce, le Tribunal a retenu que le prix d'achat de l'immeuble s'élevait à 740'000 fr., les frais de notaire à 22'208 fr. 40 et les travaux à plus-value à</w:t>
      </w:r>
    </w:p>
    <w:p>
      <w:r>
        <w:t>- 8/12 -</w:t>
      </w:r>
    </w:p>
    <w:p>
      <w:r>
        <w:t>C/29306/2017 500'000 fr., soit un prix de revient de l'immeuble de 1'262'208 fr. 40 (740'000 fr. + 22'208 fr. 40 + 500'000 fr.).</w:t>
      </w:r>
    </w:p>
    <w:p>
      <w:r>
        <w:t>Il a considéré que les fonds étrangers, constitués par une hypothèque sans amortissement, s'élevaient, lors de l'achat de l'immeuble en 1991 et lors des travaux à plus-value effectués entre 1991 et 1995, à 350'000 fr., montant augmenté à 800'000 fr. au plus tôt en 2008.</w:t>
      </w:r>
    </w:p>
    <w:p>
      <w:r>
        <w:t>Le Tribunal a donc arrêté à raison le montant des fonds propres initiaux à 912'208 fr. 40 (1'262'208 fr. 40 – 350'000 fr.).</w:t>
      </w:r>
    </w:p>
    <w:p>
      <w:r>
        <w:t>Le calcul des premiers juges des fonds étrangers initiaux est correct, dans la mesure où la somme de 350'000 fr. à titre de fonds étrangers a permis d'exécuter les travaux à plus-value effectués entre 1991 et 1995, de sorte que seul ce montant peut être pris en considération. Ces derniers ayant été augmentés à 800'000 fr. au plus tôt en 2008, la différence de 450'000 fr. (800'000 fr. – 350'000 fr.) ne doit pas être considérée dans le calcul de rendement conformément à la doctrine précitée.</w:t>
      </w:r>
    </w:p>
    <w:p>
      <w:r>
        <w:t>2.3 Concernant les charges financières, le Tribunal les a calculées sur un montant de 800'000 fr., alors que, comme indiqué ci-avant, seul le montant de 350'000 fr. à titre de fonds initiaux étrangers peut être pris en compte, de sorte que seules les charges afférentes à ce dernier montant peuvent être retenues dans le calcul de rendement.</w:t>
      </w:r>
    </w:p>
    <w:p>
      <w:r>
        <w:t>Le montant des charges financières s'élève ainsi à 7'455 fr. (350'000 fr. x 2.13%) en lieu et place de la somme de 17'040 fr. retenue par le Tribunal.</w:t>
      </w:r>
    </w:p>
    <w:p>
      <w:r>
        <w:t>2.4 L'état locatif admissible s'élève donc à 56'395 fr. 60 (39'206 fr. 70 + 9'370 fr. 40 + 7'455 fr. + 363 fr. 50) en lieu et place du montant de 65'980 fr. 60 retenu par le Tribunal.</w:t>
      </w:r>
    </w:p>
    <w:p>
      <w:r>
        <w:t>2.5 Contrairement à ce qu'ont retenu les premiers juges, les appartements et leurs prestations ne sont pas similaires. Il y a en effet lieu de tenir compte du fait que l'appartement des locataires bénéficie en sus d'un accès privatif à une terrasse.</w:t>
      </w:r>
    </w:p>
    <w:p>
      <w:r>
        <w:t>L'état locatif ne peut donc pas simplement être divisé par trois, comme l'a retenu le Tribunal. La Cour considérera que l'appartement en question doit compter pour 35% dans l'état locatif et les deux autres appartements pour 32,5% chacun, en raison de cette prestation supplémentaire.</w:t>
      </w:r>
    </w:p>
    <w:p>
      <w:r>
        <w:t>L'état locatif admissible de l'appartement litigieux s'élève à 19'738 fr. 46 (35% x 56'395 fr. 60) et sera arrondi à 19'740 fr., soit 1'645 fr. par mois, dès le 16 novembre 2017, en lieu et place du montant de 21'996 fr. retenu par le Tribunal. Le jugement entrepris sera ainsi modifié en ce sens.</w:t>
      </w:r>
    </w:p>
    <w:p>
      <w:r>
        <w:t>- 9/12 -</w:t>
      </w:r>
    </w:p>
    <w:p>
      <w:r>
        <w:t>C/29306/2017</w:t>
      </w:r>
    </w:p>
    <w:p>
      <w:r>
        <w:t>Un trop-perçu de loyer de 1'055 fr. par mois (2'700 fr. [loyer fixé par le contrat] – 1'645 fr.) a été versé par les locataires du 16 novembre 2017 au 15 juillet 2020, soit pendant 32 mois.</w:t>
      </w:r>
    </w:p>
    <w:p>
      <w:r>
        <w:t>Il en découle un trop-perçu de loyer de 33'760 fr. L'intimée ayant déjà remboursé aux appelants la somme de 28'710 fr., les conclusions en remboursement du trop- perçu de loyer de ces derniers seront admises à hauteur de 5'050 fr. 3. Les appelants font grief au Tribunal d'avoir écarté le courrier de proposition transactionnelle du 5 février 2018, alors que celui-ci n'était pas soumis aux « réserves d'usage », comme expressément indiqué.</w:t>
      </w:r>
    </w:p>
    <w:p>
      <w:r>
        <w:t>3.1 Le recours doit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 Si l'appel peut être formé pour violation du droit et constatation inexacte des faits (art. 310 CPC), la Cour ne revoit la cause que dans la limite des griefs suffisamment motivés qui sont formulés (arrêts du Tribunal fédéral 4A_290/2014 du 1er septembre 2014 consid. 5; 5A_89/2014 du 15 avril 2014 consid. 5.3.2).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w:t>
      </w:r>
    </w:p>
    <w:p>
      <w:r>
        <w:t>- 10/12 -</w:t>
      </w:r>
    </w:p>
    <w:p>
      <w:r>
        <w:t>C/29306/2017 4A_290/2014 du 1er septembre 2014 consid. 3.1; voir aussi arrêt du Tribunal fédéral 4A_274/2020 du 1er septembre 2020 consid. 6 et les références citées). 3.2 Les appelants n'ayant pas pris dans le cadre de leur appel de conclusions relatives à ce grief et celui-ci n'étant pas suffisamment motivé, il est irrecevable.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- 11/12 -</w:t>
      </w:r>
    </w:p>
    <w:p>
      <w:r>
        <w:t>C/29306/2017</w:t>
      </w:r>
    </w:p>
    <w:p>
      <w:r>
        <w:t>PAR CES MOTIFS, La Chambre des baux et loyers : A la forme : Déclare recevable l'appel interjeté le 27 mai 2021 par B______ et A______ contre le jugement JTBL/444/2021 rendu le 3 mai 2021 par le Tribunal des baux et loyers dans la cause C/29306/2017-1-OSL. Au fond : Annule le chiffre 2 du dispositif de ce jugement. Cela fait et statuant à nouveau : Fixe à 19'740 fr., charges non comprises, du 16 novembre 2017 au 15 juillet 2020, le loyer annuel de l'appartement de 5 pièces situé au rez-de-chaussée de l'immeuble sis 1______ à D______, loué par B______ et A______. Condamne C______ à verser à B______ et A______ un montant de 5'050 fr. à titre de trop-perçu de loyer. Confirme ce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- 12/12 -</w:t>
      </w:r>
    </w:p>
    <w:p>
      <w:r>
        <w:t>C/29306/2017</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