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ACJC/539/2023 vom 27. April 2023</w:t>
      </w:r>
    </w:p>
    <w:p>
      <w:r>
        <w:t>GE Cour de justice, 2023-04-27, FR</w:t>
      </w:r>
    </w:p>
    <w:p>
      <w:r>
        <w:rPr>
          <w:b/>
        </w:rPr>
        <w:t xml:space="preserve">Quelle: </w:t>
      </w:r>
      <w:r>
        <w:t>https://mcp.opencaselaw.ch/entscheid/ge_gerichte_ACJC_539_2023</w:t>
      </w:r>
    </w:p>
    <w:p>
      <w:r>
        <w:t>FR: GE_GERICHTE ACJC/539/2023 du 27 avril 2023</w:t>
      </w:r>
    </w:p>
    <w:p>
      <w:r>
        <w:t>IT: GE_GERICHTE ACJC/539/2023 del 27 aprile 2023</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w:t>
      </w:r>
    </w:p>
    <w:p>
      <w:r>
        <w:t>- 5/8 -</w:t>
      </w:r>
    </w:p>
    <w:p>
      <w:r>
        <w:t>C/17223/2022 Interjeté dans le délai prescrit et selon la forme requise, le recours est recevable.</w:t>
      </w:r>
    </w:p>
    <w:p>
      <w:r>
        <w:rPr>
          <w:b/>
        </w:rPr>
        <w:t>E. 1.3</w:t>
      </w:r>
    </w:p>
    <w:p>
      <w:r>
        <w:t>La procédure de mainlevée d'opposition est soumise à la maxime des débats (art. 55 CPC, art. 255 CPC a contrario; arrêt du Tribunal fédéral 5A_734/2018 du</w:t>
      </w:r>
    </w:p>
    <w:p>
      <w:r>
        <w:rPr>
          <w:b/>
        </w:rPr>
        <w:t>E. 1.4</w:t>
      </w:r>
    </w:p>
    <w:p>
      <w:r>
        <w:t>En matière de recours, les conclusions, les allégations de faits et les preuves nouvelles sont irrecevables selon l'art. 326 al. 1 CPC.</w:t>
      </w:r>
    </w:p>
    <w:p>
      <w:r>
        <w:t>Les pièces nouvelles déposées par les parties devant la Cour sont donc irrecevables.</w:t>
      </w:r>
    </w:p>
    <w:p>
      <w:r>
        <w:rPr>
          <w:b/>
        </w:rPr>
        <w:t>E. 1.5</w:t>
      </w:r>
    </w:p>
    <w:p>
      <w:r>
        <w:t>Dans le cadre d'un recours, le pouvoir d'examen de la Cour est limité à la violation du droit et à la constatation manifestement inexacte des faits (art. 320 CPC). 2. La recourante fait grief au premier juge d'avoir prononcé la mainlevée provisoire de l'opposition qu'elle a formée. 2.1 Le créancier dont la poursuite se fonde sur une reconnaissance de dette constatée par acte authentique ou sous seing privé peut requérir la mainlevée provisoire (art. 82 al. 1 LP). Le contrat de bail vaut reconnaissance de dette dans la poursuite en recouvrement du loyer (ABBET/ VEUILLET, La mainlevée de l'opposition, 2017, n. 160 ad art. 82 LP). Lorsque la poursuite tend au recouvrement de prestations périodiques (tels que les loyers), la réquisition de poursuite doit indiquer avec précision les périodes pour lesquelles ces prestations sont réclamées. Même si elles dérivent d'une même cause juridique, elles ne sont pas moins des créances distinctes, soumises à leur propre sort. Cette exigence répond à un besoin de clarté et d'information du poursuivi quant à la prétention alléguée afin de lui permettre de prendre position. Le poursuivi ne doit pas être contraint de former opposition pour obtenir, dans une procédure de mainlevée subséquente ou un procès en reconnaissance de dette, les renseignements sur la créance qui lui est réclamée (ATF 141 III 173 consid. 2.2.2; 121 III 18 consid. 2a; arrêt du Tribunal fédéral 5A_970/2019 du 3 décembre 2020 consid. 4.2).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w:t>
      </w:r>
    </w:p>
    <w:p>
      <w:r>
        <w:t>- 6/8 -</w:t>
      </w:r>
    </w:p>
    <w:p>
      <w:r>
        <w:t>C/17223/2022 le débiteur ne rend pas immédiatement vraisemblables ses moyens libératoires (ATF 145 III 160 consid. 5.1 et la référence).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la référence).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ces moyens libératoires, mais seulement à les rendre vraisemblables, en principe par titre (art. 254 al. 1 CPC; ATF 145 III 20 consid. 4.1.2 et les références citées). 2.2 En l'espèce, il est constant que les parties sont liées par des contrats de bail, à teneur desquels la recourante s'est engagée à payer des loyers de 7'500 fr. par mois pour le local commercial et de 1'600 fr. par mois pour le dépôt. Le commandement de payer notifié à la recourante mentionne les montants réclamés pour chaque contrat de bail avec la date depuis laquelle les loyers sont dus, y compris les intérêts. Il est manifeste que les montants réclamés concernent les loyers impayés des mois d'octobre à décembre 2021 s'agissant du local commercial (soit 7'500 fr. x 3), et du mois de novembre 2021 (1'600 fr. x 1) s'agissant du dépôt. La recourante a produit des documents attestant de virements effectués au bénéfice de l'intimée. Devant le premier juge, elle n'a pas été en mesure d'indiquer si les paiements dont elle se prévalait avaient pour objet des arriérés de loyer ou des loyers courants. Devant la Cour, elle se contente de soutenir que les montants réclamés ne tiendraient pas compte des versements effectués et de la libération des garanties de loyers, sans fournir davantage d'explications. Elle soutient par ailleurs qu'il existerait bien des retards de paiements mais que ceux-ci seraient postérieurs à la réquisition de poursuite à l'origine de la poursuite n° 1______, sans préciser les mensualités qui demeureraient impayées. En tout état, les pièces produites en première instance par la recourante concernent des paiements postérieurs à la réquisition de poursuite, exception faite de deux versements de 1'600 fr. effectués le 15 novembre 2021. Ces titres ne permettent pas de retenir, même sous l'angle de la vraisemblance, que les loyers réclamés par l'intimée auraient été acquittés. Les pièces fournies ne comportent en effet aucune indication quant au mois de loyer visé. Lesdits paiements ont de plus été effectués sur la base d'un paiement par mois – exception faite des versements des 15 novembre et 13 décembre 2021, ce qui corrobore la version de l'intimée, soit qu'il s'agit du versement mensuel des loyers courants. La recourante n'a pour le</w:t>
      </w:r>
    </w:p>
    <w:p>
      <w:r>
        <w:t>- 7/8 -</w:t>
      </w:r>
    </w:p>
    <w:p>
      <w:r>
        <w:t>C/17223/2022 surplus pas remis en cause les informations figurant dans le document "contrôle des loyers" fourni par l'intimée, lequel tient compte de tous les paiements effectués par elle jusqu'au 30 avril 2022, y compris les paiements du 15 novembre 2021, de la libération des garanties de loyer et indique les mensualités demeurées impayées. Dans la mesure où la recourante n'a pas rendu sa libération immédiatement vraisemblable, c'est à bon droit que le Tribunal a prononcé la mainlevée provisoire. Infondé, le recours sera dès lors rejeté. 3. La recourante, qui succombe, sera condamnée aux frais judiciaires, arrêtés à 600 fr. (art. 48 et 61 OELP), compensés avec l'avance fournie, acquise à l'Etat de Genève (art. 111 al. 1 CPC).</w:t>
      </w:r>
    </w:p>
    <w:p>
      <w:r>
        <w:t>Il ne sera pas alloué de dépens de recours, l'intimée n'y ayant pas conclu et, en tout état, n'étant pas représentée par un mandataire professionnel et ne faisant pas état de circonstances particulières (art. 95 al. 3 et 68 al. 2 let. c CPC). * * * * *</w:t>
      </w:r>
    </w:p>
    <w:p>
      <w:r>
        <w:t>- 8/8 -</w:t>
      </w:r>
    </w:p>
    <w:p>
      <w:r>
        <w:t>C/17223/2022 PAR CES MOTIFS, La Chambre civile : A la forme : Déclare recevable le recours interjeté le 18 janvier 2023 par A______ SA contre le jugement JTPI/15310/2022 rendu le 12 décembre 2022 par le Tribunal de première instance dans la cause C/17223/2022-1 SML. Au fond : Le rejette. Déboute les parties de toutes autres conclusions. Sur les frais : Arrête les frais judiciaires du recours à 600 fr., compensés avec l'avance fournie par A______ SA, acquise à l'Etat de Genève, et les met à la charge de celle-ci. Dit qu'il n'est pas alloué de dépens de recours. Siégeant : Madame Pauline ERARD, présidente; Madame Sylvie DROIN, Madame Nathalie LANDRY-BARTHE,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4</w:t>
      </w:r>
    </w:p>
    <w:p>
      <w:r>
        <w:t>décembre 2018 consid. 4.3.5 et les références) et de disposition (art. 58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