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ACJC/536/2015 vom 13. November 2014</w:t>
      </w:r>
    </w:p>
    <w:p>
      <w:r>
        <w:t>GE Cour de justice, 2014-11-13, FR</w:t>
      </w:r>
    </w:p>
    <w:p>
      <w:r>
        <w:rPr>
          <w:b/>
        </w:rPr>
        <w:t xml:space="preserve">Quelle: </w:t>
      </w:r>
      <w:r>
        <w:t>https://mcp.opencaselaw.ch/entscheid/ge_gerichte_ACJC_536_2015</w:t>
      </w:r>
    </w:p>
    <w:p>
      <w:r>
        <w:t>FR: GE_GERICHTE ACJC/536/2015 du 13 novembre 2014</w:t>
      </w:r>
    </w:p>
    <w:p>
      <w:r>
        <w:t>IT: GE_GERICHTE ACJC/536/2015 del 13 novembre 2014</w:t>
      </w:r>
    </w:p>
    <w:p>
      <w:pPr>
        <w:pStyle w:val="Heading2"/>
      </w:pPr>
      <w:r>
        <w:t>Erwägungen</w:t>
      </w:r>
    </w:p>
    <w:p>
      <w:r>
        <w:rPr>
          <w:b/>
        </w:rPr>
        <w:t>E. 1</w:t>
      </w:r>
    </w:p>
    <w:p>
      <w:r>
        <w:t>La décision entreprise est une décision finale de première instance rendue dans une cause patrimoniale dont la valeur litigieuse, au dernier état des conclusions devant le premier juge, est inférieure à 10'000 fr.</w:t>
      </w:r>
    </w:p>
    <w:p>
      <w:r>
        <w:t>Dès lors, seule la voie du recours est ouverte (art. 308 et 319 let. a CPC).</w:t>
      </w:r>
    </w:p>
    <w:p>
      <w:r>
        <w:rPr>
          <w:b/>
        </w:rPr>
        <w:t>E. 2</w:t>
      </w:r>
    </w:p>
    <w:p>
      <w:r>
        <w:t>Selon l'art. 321 CPC, le recours, écrit et motivé, est introduit auprès de l'instance de recours dans les 30 jours à compter de la notification de la décision motivée.</w:t>
      </w:r>
    </w:p>
    <w:p>
      <w:r>
        <w:t>Ce délai vaut également pour la procédure simplifiée, applicable ici (art. 243 al. 1 CPC; art. 321 al. 2 CPC a contrario).</w:t>
      </w:r>
    </w:p>
    <w:p>
      <w:r>
        <w:t>En l'espèce, le recours satisfait aux exigences de délai (art. 142 al. 3; 145 al. 1 let. c CPC) et de forme, de sorte qu'il sera déclaré recevable. Contrairement à ce que soutient l'intimé, la recourante a pris des conclusions au fond, dès lors qu'elle a demandé le déboutement de sa partie adverse de toutes ses conclusions en cas d'annulation du jugement entrepris.</w:t>
      </w:r>
    </w:p>
    <w:p>
      <w:r>
        <w:rPr>
          <w:b/>
        </w:rPr>
        <w:t>E. 3</w:t>
      </w:r>
    </w:p>
    <w:p>
      <w:r>
        <w:t>Dans le cadre du recours, ne sont recevables que les griefs qui reposent sur la violation de la loi ou la constatation manifestement inexacte des faits (art. 320 CPC).</w:t>
      </w:r>
    </w:p>
    <w:p>
      <w:r>
        <w:t>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p. 266 n. 15).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t>- 6/9 -</w:t>
      </w:r>
    </w:p>
    <w:p>
      <w:r>
        <w:t>C/24583/2013</w:t>
      </w:r>
    </w:p>
    <w:p>
      <w:r>
        <w:rPr>
          <w:b/>
        </w:rPr>
        <w:t>E. 4</w:t>
      </w:r>
    </w:p>
    <w:p>
      <w:r>
        <w:t>La recourante invoque une violation de son droit d'être entendue, le Tribunal n'ayant pas examiné l'application de l'art. 32 al. 1 CO dont elle s'était prévalue.</w:t>
      </w:r>
    </w:p>
    <w:p>
      <w:r>
        <w:rPr>
          <w:b/>
        </w:rPr>
        <w:t>E. 4.1</w:t>
      </w:r>
    </w:p>
    <w:p>
      <w:r>
        <w:t>Le droit d'être entendu garanti par l'art. 29 al. 2 Cst. implique notamment pour l'autorité l'obligation de motiver sa décision. Il suffit que cette dernière mentionne, au moins brièvement, les motifs qui l'ont guidée et sur lesquels elle a fondé sa décision, de manière à ce que l'intéressé puisse se rendre compte de la portée de celle-ci et l'attaquer en connaissance de cause (ATF 136 I 184 consid. 2.2.1). L'autorité n'a pas l'obligation d'exposer et de discuter tous les faits, moyens de preuve et griefs invoqués par les parties, mais elle peut au contraire se limiter à ceux qui lui paraissent pertinents (ATF 137 II 266 consid. 3.2; 136 I 229 consid. 5.2).</w:t>
      </w:r>
    </w:p>
    <w:p>
      <w:r>
        <w:rPr>
          <w:b/>
        </w:rPr>
        <w:t>E. 4.2</w:t>
      </w:r>
    </w:p>
    <w:p>
      <w:r>
        <w:t>En l'espèce, c'est en vain que la recourante se plaint d'une violation de son droit d'être entendue. Le Tribunal a en effet retenu l'existence d'un accord entre les parties sur la prise en charge par la recourante des honoraires d'avocat faisant l'objet des factures litigieuses. Il a donc implicitement écarté l'application de l'art. 32 al. 1 CO lié à la représentation. Le jugement entrepris contient ainsi une motivation suffisante. Ce grief est mal fondé.</w:t>
      </w:r>
    </w:p>
    <w:p>
      <w:r>
        <w:rPr>
          <w:b/>
        </w:rPr>
        <w:t>E. 5</w:t>
      </w:r>
    </w:p>
    <w:p>
      <w:r>
        <w:t>La recourante conteste sa légitimation passive. Elle invoque, d'une part, une appréciation arbitraire des preuves, le Tribunal n'ayant pas retenu que l'activité de l'avocat avait consisté en la sauvegarde des intérêts de sociétés tierces, fait non contesté, et d'autre part, une violation de l'art. 32 CO, dès lors qu'elle avait agi en tant que représentante de ces sociétés dans leur relation avec l'intimé. Elle reproche enfin au Tribunal d'avoir fait appel aux règles d'interprétation du contrat, alors qu'il est impossible pour un avocat, au vu de la nature des mandats qui lui sont confiés, d'ignorer l'identité de ses clients. 5.1.1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Selon l'art. 32 al. 1 CO, les droits et les obligations dérivant d’un contrat fait au nom d’une autre personne par un représentant autorisé passent au représenté. Celui qui, agissant en son propre nom, a stipulé une obligation en faveur d’un tiers a le droit d’en exiger l’exécution au profit de ce tiers (art. 112 al. 1 CO). La stipulation pour autrui met en relation trois personnes :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(TEVINI/DU PASQUIER, Commentaire romand, Code des obligations I, 2ème édition, 2012, n. 2 ad art. 112 CO). La stipulation pour</w:t>
      </w:r>
    </w:p>
    <w:p>
      <w:r>
        <w:t>- 7/9 -</w:t>
      </w:r>
    </w:p>
    <w:p>
      <w:r>
        <w:t>C/24583/2013 autrui peut en principe s'appliquer à n'importe quel type de contrat (arrêt du Tribunal fédéral 8C_191/2010 du 12 octobre 2010 consid. 7.1.1). 5.1.2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Seuls les éléments antérieurs à la conclusion du contrat sont à prendre en considération (ATF 136 III 186 consid. 3.2.1 et les arrêts cités; 135 III 295 consid. 5.2).</w:t>
      </w:r>
    </w:p>
    <w:p>
      <w:r>
        <w:rPr>
          <w:b/>
        </w:rPr>
        <w:t>E. 5.2</w:t>
      </w:r>
    </w:p>
    <w:p>
      <w:r>
        <w:t>En l'espèce, l'intervention de l'intimé a consisté en la sauvegarde d'intérêts de tiers, ce que l'intimé n'a contesté ni devant le Tribunal, ni devant la Cour. Contrairement à ce que soutient la recourante, cet élément n'exclut toutefois pas l'existence d'un engagement de sa part à prendre en charge les honoraires de l'intimé, que ce soit par la conclusion de contrats de mandat, la recourante demeurant la destinataire des prestations de l'avocat, ou par une stipulation pour autrui, la recourante étant libre de se faire promettre en son propre nom l'intervention de l'intimé en faveur de ses clients.</w:t>
      </w:r>
    </w:p>
    <w:p>
      <w:r>
        <w:t>C'est donc à juste titre que le Tribunal a examiné le contenu du contrat conclu entre les parties en faisant appel aux règles d'interprétation du contrat. A cet égard, il a retenu que la recourante avait été, dans le cadre des mandats litigieux, l'interlocuteur principal de l'intimé, que les notes d'honoraires, établies entre août 1998 et mai 2004, avaient toutes été libellées au nom de la recourante et adressées à elle, que cette dernière n'avait jamais nié en être la débitrice avant le 8 février 2011 et qu'enfin, son administrateur avait déclaré, le 10 novembre 2011, être prêt à régler les factures litigieuses, indépendamment du résultat de l'affaire E______. Tous ces éléments – qui ne sont pas contestés - plaident en faveur d'un accord de</w:t>
      </w:r>
    </w:p>
    <w:p>
      <w:r>
        <w:t>- 8/9 -</w:t>
      </w:r>
    </w:p>
    <w:p>
      <w:r>
        <w:t>C/24583/2013 la recourante de prendre en charge en son propre nom les honoraires d'avocat. Par son attitude, l'intéressée a en effet clairement laissé apparaître qu'elle se considérait débitrice des factures dont le paiement est réclamé. Son intention et sa volonté réelle d'être personnellement liée a ainsi été établie. Par conséquent, le premier juge pouvait admettre, sans commettre une appréciation arbitraire des preuves, que les parties étaient convenues que la recourante était redevable des honoraires de l'avocat. Le Tribunal a, certes, fondé son raisonnement sur une interprétation objective basée sur le principe de la confiance, alors que la volonté réelle des parties pouvait être déterminée sur la base notamment du comportement qu'elles ont adopté après la conclusion dudit accord. Il n'en demeure pas moins que le résultat auquel il est parvenu – à savoir l'engagement de la recourante de s'acquitter des honoraires de l'intimé – ne consacre ni une appréciation arbitraire des preuves, ni une violation de la loi.</w:t>
      </w:r>
    </w:p>
    <w:p>
      <w:r>
        <w:t>Dès lors que le recourante s'est engagée à assumer les honoraires de l'intimé, les règles relatives à la représentation (art. 32 ss CO) ne sauraient trouver application. Pour le surplus, la recourante ne conteste ni le caractère onéreux des mandats confiés à l'intimé, ni la quotité des honoraires exigés. En admettant la légitimation passive de la recourante et en la condamnant au paiement des montants réclamés, le Tribunal n'a par conséquent pas violé la loi. Partant, le recours sera rejeté.</w:t>
      </w:r>
    </w:p>
    <w:p>
      <w:r>
        <w:rPr>
          <w:b/>
        </w:rPr>
        <w:t>E. 6</w:t>
      </w:r>
    </w:p>
    <w:p>
      <w:r>
        <w:t>La recourante, qui succombe, sera condamnée aux frais judiciaires du recours, fixés à 1'000 fr. et compensés par l'avance de frais de même montant (art. 104 al. 1, 105, 106 al. 1 et 111 al. 1 CPC; art. 17 du Règlement fixant le tarif des frais en matière civile du 22 décembre 2010 (RTFMC) RS/GE E 1.05.10).</w:t>
      </w:r>
    </w:p>
    <w:p>
      <w:r>
        <w:t>Dans la mesure où l'intimé plaide en personne et qu'il n'expose pas avoir engagé des frais pour les démarches effectuées, il ne lui sera pas alloué de dépens.</w:t>
      </w:r>
    </w:p>
    <w:p>
      <w:r>
        <w:rPr>
          <w:b/>
        </w:rPr>
        <w:t>E. 7</w:t>
      </w:r>
    </w:p>
    <w:p>
      <w:r>
        <w:t>La valeur litigieuse des conclusions, au sens de la LTF, est inférieure à 30'000 fr. * * * * *</w:t>
      </w:r>
    </w:p>
    <w:p>
      <w:r>
        <w:t>- 9/9 -</w:t>
      </w:r>
    </w:p>
    <w:p>
      <w:r>
        <w:t>C/24583/2013 PAR CES MOTIFS, La Chambre civile : A la forme : Déclare recevable le recours interjeté par A______ SA contre le jugement JTPI/14322/2014 rendu le 13 novembre 2014 par le Tribunal de première instance dans la cause C/24583/2013-20. Au fond : Le rejette. Déboute les parties de toutes autres conclusions. Sur les frais : Arrête les frais judiciaires de recours à 1'000 fr., les met à la charge de A______ SA et dit qu'ils sont entièrement compensés par l'avance de frais, qui reste acquise à l'Etat. Dit qu'il ne sera pas alloué de dépens de recours.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