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ACJC/535/2021 vom 30. April 2021</w:t>
      </w:r>
    </w:p>
    <w:p>
      <w:r>
        <w:t>GE Cour de justice, 2021-04-30, FR</w:t>
      </w:r>
    </w:p>
    <w:p>
      <w:r>
        <w:rPr>
          <w:b/>
        </w:rPr>
        <w:t xml:space="preserve">Quelle: </w:t>
      </w:r>
      <w:r>
        <w:t>https://mcp.opencaselaw.ch/entscheid/ge_gerichte_ACJC_535_2021</w:t>
      </w:r>
    </w:p>
    <w:p>
      <w:r>
        <w:t>FR: GE_GERICHTE ACJC/535/2021 du 30 avril 2021</w:t>
      </w:r>
    </w:p>
    <w:p>
      <w:r>
        <w:t>IT: GE_GERICHTE ACJC/535/2021 del 30 aprile 2021</w:t>
      </w:r>
    </w:p>
    <w:p>
      <w:pPr>
        <w:pStyle w:val="Heading2"/>
      </w:pPr>
      <w:r>
        <w:t>Volltext</w:t>
      </w:r>
    </w:p>
    <w:p>
      <w:r>
        <w:t>Le présent arrêt est communiqué aux parties par plis recommandés du 03.05.2021.</w:t>
      </w:r>
    </w:p>
    <w:p>
      <w:r>
        <w:t>REPUBLIQUE ET</w:t>
      </w:r>
    </w:p>
    <w:p>
      <w:r>
        <w:t>CANTON DE GENEVE POUVOIR JUDICIAIRE C/23039/2019 ACJC/535/2021 ARRÊT DE LA COUR DE JUSTICE Chambre des baux et loyers DU VENDREDI 30 AVRIL 2021</w:t>
      </w:r>
    </w:p>
    <w:p>
      <w:r>
        <w:t>Entre VILLE DE GENEVE, soit pour elle la Gérance Immobilière Municipale, rue de l'Hôtel de Ville 5, case postale 3983, 1211 Genève 3, recourante contre une ordonnance rendue par le Tribunal des baux et loyers le 1er avril 2021, en les bureaux de laquelle elle fait élection de domicile, et Madame A______ et Monsieur B______, domiciliés ______, intimés, représentés par l'ASLOCA, rue du Lac 12, case postale 6150, 1211 Genève 6, en les bureaux de laquelle ils font élection de domicile.</w:t>
      </w:r>
    </w:p>
    <w:p>
      <w:r>
        <w:t>- 2/5 -</w:t>
      </w:r>
    </w:p>
    <w:p>
      <w:r>
        <w:t>C/23039/2019 Vu, EN FAIT, la procédure C/23039/2019, pendante devant le Tribunal des baux et loyers, en validation de hausse de loyer; Vu les conclusions prises par A______ et B______ lors de l'audience de débats d'instruction du 14 janvier 2021 du Tribunal, par lesquelles ils ont sollicité qu'un calcul de rendement soit effectué, un délai devant être imparti à la VILLE DE GENEVE pour produire les pièces nécessaires à cet effet; Vu l'ordonnance de preuves OTBL/40/2021 du 1er avril 2021 rendue par le Tribunal, reçue par la VILLE DE GENEVE le 13 avril suivant, impartissant à la précitée un délai au 17 mars 2021 pour produire le calcul de rendement ainsi que pour déposer toutes les pièces requises, la suite de la procédure étant réservée; Vu le recours formé le 23 avril 2021 à la Cour de justice par la VILLE DE GENEVE contre cette décision, sollicitant son annulation; qu'elle a conclu à ce que la Cour déclare qu'elle n'a pas et ne peut pas produire le calcul de rendement et les pièces nécessaires à son établissement, indique au Tribunal qu'à défaut de pouvoir effectuer un tel calcul, le juge devra fixer le loyer en fonction des statistiques cantonales disponibles et de son expérience; Vu la requête tendant à la suspension de l'effet exécutoire attaché à l'ordonnance querellée dont le recours est assorti, la VILLE DE GENEVE faisant en substance valoir subir un préjudice difficilement réparable si elle devait être contrainte de fournir immédiatement les pièces nécessaires à effectuer un calcul de rendement; qu'en effet, une fois les pièces produites, elle n'aurait plus aucun intérêt à faire valoir qu'elle n'avait pas l'obligation de les produire; Attendu que A______ et B______, dans leurs déterminations du 29 avril 2021, ont conclu au rejet de la demande d'effet suspensif; Considérant, EN DROIT, que la décision querellée est une ordonnance d'instruction, soit une ordonnance de preuves (art. 124 CPC), susceptible du seul recours, recours dont la recevabilité est subordonnée à l'existence d'un préjudice difficilement réparable (art. 319 let. b ch. 2 CPC), la cognition de la Cour étant limitée à l'appréciation manifestement inexacte des faits et à la violation de la loi (art. 321 al. 2 CPC); Que le recours ne suspend pas la force de chose jugée et le caractère exécutoire de la décision entreprise, l'autorité de recours (soit la Cour de céans) pouvant suspendre le caractère exécutoire en ordonnant au besoin des mesures conservatoires ou le dépôt de sûretés (art. 325 CPC); Que, saisie d'une demande de suspension de l'effet exécutoire, l'autorité de recours doit faire preuve de retenue et ne modifier la décision de première instance que dans des cas exceptionnels; qu'elle dispose cependant d'un large pouvoir d'appréciation permettant de tenir compte des circonstances concrètes du cas d'espèce (ATF 137 III 475 consid. 4. 1);</w:t>
      </w:r>
    </w:p>
    <w:p>
      <w:r>
        <w:t>- 3/5 -</w:t>
      </w:r>
    </w:p>
    <w:p>
      <w:r>
        <w:t>C/23039/2019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 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(cf. ATF 138 III 378 consid. 6.3; 137 III 380 consid. 2, SJ 2012 I 73; JEANDIN, Commentaire romand, Code de procédure civile, 2ème éd., 2019, n. 22 ad art. 319 CPC; HOHL, Procédure civile, Tome II, 2010, n. 2485); Que cela suppose que la partie recourante soit exposée à un préjudice de nature juridique, qui ne puisse pas être ultérieurement réparé ou entièrement réparé par une décision finale qui lui serait favorable; un dommage économique ou de pur fait n'est pas considéré comme un dommage irréparable de ce point de vue (ATF 138 III 333 consid. 1.3.1; 134 III 188 consid. 2.1 et 2.2); qu'ainsi, une simple prolongation de la procédure ou un accroissement des frais de celle-ci ne constitue pas un préjudice difficilement réparable (SPÜHLER, Basler Kommentar, Schweizerische Zivilprozessordnung, 3ème éd., 2017, n. 7 ad art. 319 CPC; HOFFMANN-NOWOTNY, ZPO- Rechtsmittel, Berufung und Beschwerde, 2013, n. 25 ad art. 319 CPC); Que de même, le seul fait que la partie ne puisse se plaindre d'une administration des preuves contraire à la loi qu'à l'occasion d'un recours sur le fond n'est pas suffisant pour retenir que la décision attaquée est susceptible de causer un préjudice difficilement réparable (SPÜHLER, op. cit., n. 8 ad art. 319 CPC; COLOMBINI, Condensé de la jurisprudence fédérale et vaudoise relative à l'appel et au recours en matière civile, in JdT 2013 III p. 131 ss, p. 155); que la décision refusant ou admettant des moyens de preuve ne cause en effet pas de préjudice difficilement réparable, puisqu'il est normalement possible, en recourant contre la décision finale, d'obtenir l'administration de la preuve refusée à tort ou d'obtenir que la preuve administrée à tort soit écartée du dossier (arrêts du Tribunal fédéral 4A_248/2014 du 27 juin 2014, 4A_339/2013 du 8 octobre 2013 consid. 2 et 5A_315/2012 du 28 août 2012 consid. 1.2.1; COLOMBINI, Code de procédure civile, Lausanne 2018, p. 1024); Que dans un arrêt où l'obligation pour la bailleresse de produire les pièces nécessaires à un calcul du rendement net était en jeu, le Tribunal fédéral a considéré que si la bailleresse devait être contrainte de fournir immédiatement lesdites pièces, cela</w:t>
      </w:r>
    </w:p>
    <w:p>
      <w:r>
        <w:t>- 4/5 -</w:t>
      </w:r>
    </w:p>
    <w:p>
      <w:r>
        <w:t>C/23039/2019 entraînerait pour elle un inconvénient qui ne pourrait pas être réparé à l'issue de la procédure d'appel, puisque, une fois qu'elle aurait produit ces pièces, les parties adverses en auraient pris connaissance et la bailleresse n'aurait alors plus aucun intérêt à faire valoir qu'elle n'avait pas l'obligation de les produire; que le Tribunal fédéral a alors admis que l'existence d'un préjudice irréparable au sens de l'art. 93 al. 1 let. a LTF était réalisée (arrêt du Tribunal fédéral 4A_400/2017 du 13 septembre 2018 consid. 1.1 non publié aux ATF 144 III 514); Qu'en l'espèce, l'ordonnance entreprise ordonne à la bailleresse recourante de produire les documents nécessaires pour effectuer un calcul de rendement; que dans la dernière jurisprudence rappelée ci-dessus, le Tribunal fédéral a considéré que la bailleresse subirait alors un inconvénient qui ne pourrait pas être réparé à l'issue de la procédure d'appel, même en cas de décision favorable, puisqu'elle n'aurait plus d'intérêt à contester qu'elle fût indûment obligée de produire les éléments de calcul litigieux; Que l'existence d'un préjudice difficilement réparable doit dès lors être, prima facie et sans préjudice de l'examen au fond, réalisée; Que la requête d'effet suspensif sera en conséquence admise. * * * * *</w:t>
      </w:r>
    </w:p>
    <w:p>
      <w:r>
        <w:t>- 5/5 -</w:t>
      </w:r>
    </w:p>
    <w:p>
      <w:r>
        <w:t>C/23039/2019</w:t>
      </w:r>
    </w:p>
    <w:p>
      <w:r>
        <w:t>PAR CES MOTIFS, La Présidente de la Chambre des baux et loyers : Statuant sur la suspension de l'effet exécutoire : Suspend l'effet exécutoire attaché à l'ordonnance OTBL/40/2021 rendue le 1er avril 2021 par le Tribunal des baux et loyers dans la cause C/23039/2019-4 EDI OSL. Déboute les parties de toutes autres conclusions. Siégeant : Madame Nathalie LANDRY-BARTHE, présidente; Madame Maïté VALENTE, greffière.</w:t>
      </w:r>
    </w:p>
    <w:p>
      <w:r>
        <w:t>La présidente : Nathalie LANDRY-BARTHE</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