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ACJC/533/2016 vom 26. April 2016</w:t>
      </w:r>
    </w:p>
    <w:p>
      <w:r>
        <w:t>GE Cour de justice, 2016-04-26, FR</w:t>
      </w:r>
    </w:p>
    <w:p>
      <w:r>
        <w:rPr>
          <w:b/>
        </w:rPr>
        <w:t xml:space="preserve">Quelle: </w:t>
      </w:r>
      <w:r>
        <w:t>https://mcp.opencaselaw.ch/entscheid/ge_gerichte_ACJC_533_2016</w:t>
      </w:r>
    </w:p>
    <w:p>
      <w:r>
        <w:t>FR: GE_GERICHTE ACJC/533/2016 du 26 avril 2016</w:t>
      </w:r>
    </w:p>
    <w:p>
      <w:r>
        <w:t>IT: GE_GERICHTE ACJC/533/2016 del 26 aprile 2016</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w:t>
      </w:r>
    </w:p>
    <w:p>
      <w:r>
        <w:t>- 5/11 -</w:t>
      </w:r>
    </w:p>
    <w:p>
      <w:r>
        <w:t>C/17767/2010 Dès lors que le jugement attaqué a été notifié aux parties en juillet 2015, le nouveau droit de procédure est applicable à la présente procédure de recours.</w:t>
      </w:r>
    </w:p>
    <w:p>
      <w:r>
        <w:rPr>
          <w:b/>
        </w:rPr>
        <w:t>E. 1.2</w:t>
      </w:r>
    </w:p>
    <w:p>
      <w:r>
        <w:t>La procédure de première instance a débuté en 2010, a fait l'objet d'une décision rendue par le Tribunal le 5 juillet 2011, soit après l'entrée en vigueur du nouveau droit de procédure, et a été reprise à la suite d'une décision d'annulation et de renvoi. Les procédures en cours à l'entrée en vigueur du Code de procédure civile fédérale sont régies par l'ancien droit de procédure cantonal jusqu'à la clôture de l'instance (art. 404 al. 1 CPC). L'autorité à laquelle la cause est renvoyée ne se trouve pas saisie d'une nouvelle procédure, mais reprend la précédente procédure, qui n'est dès lors pas close, faute de décision finale. Il découle de l'art. 404 CPC que l'ancien droit de procédure reste applicable, y compris après un renvoi; à cet égard, il importe peu qu'il n'y ait jamais eu de décision finale, ou qu'une décision finale ait été rendue, puis annulée (arrêt du Tribunal fédéral 4A_327/2013 du 13 novembre 2013 consid. 1.2 et les références citées). Ainsi, bien que le renvoi de la cause au Tribunal ait eu lieu après l'entrée en vigueur du nouveau droit, la procédure de première instance reste, quant à elle, régie par l'ancien droit de procédure, soit par l'ancienne loi genevoise de procédure civile du 10 avril 1987 (ci-après : aLPC).</w:t>
      </w:r>
    </w:p>
    <w:p>
      <w:r>
        <w:rPr>
          <w:b/>
        </w:rPr>
        <w:t>E. 2.1</w:t>
      </w:r>
    </w:p>
    <w:p>
      <w:r>
        <w:t>La reconnaissance, la déclaration de force exécutoire et l'exécution des décisions étrangères sont régies par les dispositions du CPC relatives à l'exécution, à moins qu'un traité international ou la LDIP n'en dispose autrement (art. 335 al. 3 CPC).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SUTTER-SOMM/HASENBÖHLER/LEUENBERGER, 2013,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attaqué constitue une décision finale, de sorte que la voie du recours est ouverte.</w:t>
      </w:r>
    </w:p>
    <w:p>
      <w:r>
        <w:t>- 6/11 -</w:t>
      </w:r>
    </w:p>
    <w:p>
      <w:r>
        <w:t>C/17767/2010</w:t>
      </w:r>
    </w:p>
    <w:p>
      <w:r>
        <w:rPr>
          <w:b/>
        </w:rPr>
        <w:t>E. 2.2</w:t>
      </w:r>
    </w:p>
    <w:p>
      <w:r>
        <w:t>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 En l'espèce, le recours respecte les conditions de forme susmentionnées et sera donc déclaré recevable.</w:t>
      </w:r>
    </w:p>
    <w:p>
      <w:r>
        <w:rPr>
          <w:b/>
        </w:rPr>
        <w:t>E. 2.3</w:t>
      </w:r>
    </w:p>
    <w:p>
      <w:r>
        <w:t>Le recours est recevable pour violation du droit et constatation manifestement inexacte des faits (art. 320 CPC).</w:t>
      </w:r>
    </w:p>
    <w:p>
      <w:r>
        <w:rPr>
          <w:b/>
        </w:rPr>
        <w:t>E. 3</w:t>
      </w:r>
    </w:p>
    <w:p>
      <w:r>
        <w:t>La recourante fait grief au Tribunal d'avoir nié que la reconnaissance de l'acte d'hoirie égyptien est manifestement incompatible avec l'ordre public suisse et doit ainsi être refusée.</w:t>
      </w:r>
    </w:p>
    <w:p>
      <w:r>
        <w:rPr>
          <w:b/>
        </w:rPr>
        <w:t>E. 3.1</w:t>
      </w:r>
    </w:p>
    <w:p>
      <w:r>
        <w:t>Les décisions, les mesures ou les documents relatifs à une succession, de même que les droits qui dérivent d'une succession ouverte à l'étranger, sont reconnus en Suisse, notamment lorsqu'ils ont été rendus, pris, dressés ou constatés dans l'état du dernier domicile du défunt (art. 96 al. 1 let. a LDIP). Cette disposition ne concerne pas uniquement les mesures de l'art. 89 LDIP, mais toutes les décisions, mesures ou pièces relatives à la succession, en particulier les mesures de sûreté, l'appel aux héritiers, l'ouverture et la communication de dispositions pour cause de mort ainsi que la délivrance de certificat d'héritier ou de pièces équivalentes (BOSON, Le certificat d'héritier, in RVJ 2003, 203 ss, p. 222). Il n'est pas exigé que l'acte étranger ait été établi dans une procédure judiciaire ou administrative. Cela concerne en particulier la très grande diversité d'actes permettant à un héritier de faire la preuve de sa légitimation (BUCHER, in Commentaire romand, Loi sur le droit international privé, Convention de Lugano, 2011, n° 5 ad art. 96 LDIP). Les art. 25 à 29 LDIP s'appliquent, le cas échéant par analogie (art. 31 LDIP), aux décisions, mesures et documents mentionnés à l'art. 96 LDIP (cf. ATF 122 III 213 consid. 3c).</w:t>
      </w:r>
    </w:p>
    <w:p>
      <w:r>
        <w:rPr>
          <w:b/>
        </w:rPr>
        <w:t>E. 3.2</w:t>
      </w:r>
    </w:p>
    <w:p>
      <w:r>
        <w:t>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w:t>
      </w:r>
    </w:p>
    <w:p>
      <w:r>
        <w:t>- 7/11 -</w:t>
      </w:r>
    </w:p>
    <w:p>
      <w:r>
        <w:t>C/17767/2010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182 consid. 4.1; arrêt du Tribunal fédéral 5A_604/2009 du 9 novembre 2009 consid. 4.2.2.1). La décision étrangère ne peut pas faire l'objet d'une révision au fond (art. 27 al. 3 LDIP). L'examen de la condition du respect de l'ordre public suisse s'examine en procédant à une évaluation comparative focalisée sur le résultat (arrêt du Tribunal fédéral 5A_267/2007 du 30 septembre 2008 consid. 4.2). En Suisse et en Allemagne, il est de jurisprudence constante que l'intervention de la clause d'ordre public est subordonnée à l'exigence de certains liens avec l'Etat du for, condition appelée "Binnenbeziehung" en Suisse et "Inlandsbeziehung" dans la pratique allemande (BUCHER, op. cit., n° 24 ad art. 17 LDIP). Cependant, en tant qu'expression de la relativité de l'ordre public, la "Binnenbeziehung" dépend de la fonction et de l'importance attribuées par l'Etat du for aux principes d'ordre public concernés. Plus un tel principe est fondamental et l'atteinte, portée par la solution découlant de la lex causae, grave, moins se manifeste l'exigence d'un lien de la situation avec le for, pouvant aller jusqu'à disparaître (BUCHER, op. cit., n° 27 ad art. 17 LDIP). Il s'agit d'éviter une relativisation excessive des valeurs les plus fondamentales de l'ordre public du for, lorsque la cause ne présente pas d'attaches avec la Suisse (OTHENIN-GIRARD, Reconnaissance des répudiations en Suisse et ordre public, quelques réflexions à la lumière d'un récent arrêt du Tribunal fédéral (ATF 126 III 327), in RSJ 97 (2001), n° 2, 21 ss, p. 26). Dans un arrêt 5C.25/2005 du 9 mai 2005, le Tribunal fédéral a jugé qu'il n'y avait pas lieu de mettre en cause la qualité de titre successoral étranger d'un certificat d'héritier délivré en Ouzbékistan, établi par une étude notariale de ce pays. Ce certificat avait pour particularité d'indiquer seules la mère et sa fille mineure comme héritières légales, tandis que le défunt avait laissé deux fils majeurs qui, d'après un testament établi en Californie, devaient se partager à parts égales avec leur sœur le produit de la vente de trois voitures, tandis que l'épouse survivante</w:t>
      </w:r>
    </w:p>
    <w:p>
      <w:r>
        <w:t>- 8/11 -</w:t>
      </w:r>
    </w:p>
    <w:p>
      <w:r>
        <w:t>C/17767/2010 recueillait le "gros" de la succession. Le Tribunal fédéral n'a pas examiné la question de l'éventuelle contrariété de ce certificat d'héritier avec l'ordre public suisse. Un commentateur dudit arrêt relève que les juridictions suisses auraient dû se poser la question d'office. En effet, fonder une distinction quant à la réserve légale de succession sur le seul fait de l'âge, selon que l'enfant est mineur ou majeur, semble discriminatoire. Dans le contexte suisse, il y aurait là en tout cas une violation du droit fondamental à l'égalité de traitement au sens de l'art. 8 al. 2 Cst, qui retient l'âge comme un facteur portant atteinte à l'égalité de traitement. Il ne semble pas qu'une telle discrimination soit mieux "supportable" que celle qui serait fondée sur le sexe, les descendants mâles étant mieux traités en droit étranger que les filles. Il ne semble pas non plus qu'une discrimination aussi drastique puisse encore être nuancée selon qu'il existe ou non une "Binnenbeziehung" avec la Suisse (BUCHER, in RSDIE 2007, p. 369, ch. 5).</w:t>
      </w:r>
    </w:p>
    <w:p>
      <w:r>
        <w:rPr>
          <w:b/>
        </w:rPr>
        <w:t>E. 3.3</w:t>
      </w:r>
    </w:p>
    <w:p>
      <w:r>
        <w:t>En l'espèce, l'acte d'hoirie dont la reconnaissance est requise constitue un document équivalent à un certificat d'héritier. Par ailleurs, il est admis qu'en droit égyptien, il n'y a pas de succession entre un musulman et un non musulman. Par ailleurs, l'héritier de sexe masculin a droit à une part double de celle de l'héritière de sexe féminin, ce qui résulte d'ailleurs de l'acte d'hoirie faisant l'objet de la procédure. Ainsi, une reconnaissance de l'acte d'hoirie aurait pour effet, d'une part, que la veuve ne pourrait faire valoir, uniquement en raison de ses convictions religieuses, aucun droit sur les avoirs que son époux détenait auprès des deux établissements bancaires suisses et, d'autre part, que les sœurs du défunt, uniquement en raison de leur sexe, ne pourraient faire valoir que des droits moins importants que ceux de leurs frères. Ces conséquences contreviennent au principe de l'interdiction de discrimination consacrée à l'art. 8 al. 2 Cst.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l'art. 8 al. 3 1ère phr. Cst. précisant que l'homme et la femme sont égaux en droit. Des discriminations aussi drastiques ne peuvent pas être nuancées, même si le seul lien avec la Suisse concerne la situation des avoirs bancaires. Une reconnaissance de l'acte d'hoirie aboutirait à un résultat fondamentalement opposé à la conception suisse du droit. Au vu de ce qui précède, c'est à tort que le premier juge a considéré que la reconnaissance de l'acte d'hoirie n'était pas manifestement incompatible avec l'ordre public suisse. La décision attaquée sera annulée. La cause étant en état d'être jugée, il sera statué à nouveau (art. 327 al. 3 let. b CPC).</w:t>
      </w:r>
    </w:p>
    <w:p>
      <w:r>
        <w:t>- 9/11 -</w:t>
      </w:r>
    </w:p>
    <w:p>
      <w:r>
        <w:t>C/17767/2010 La reconnaissance sera refusée, sans qu'il soit nécessaire d'examiner si le dernier domicile du défunt se situait en Egypte ou en France, ni si l'ordre public procédural a été violé, ce qui conduira à débouter les intimés des fins de leur requête.</w:t>
      </w:r>
    </w:p>
    <w:p>
      <w:r>
        <w:rPr>
          <w:b/>
        </w:rPr>
        <w:t>E. 4.1</w:t>
      </w:r>
    </w:p>
    <w:p>
      <w:r>
        <w:t>Les intimés, qui succombent, seront condamnés aux dépens de première instance, comprenant une indemnité de 1'000 fr. (non contestée dans sa quotité) valant participation aux honoraires d'avocat de la recourante (art. 176 al. 1 et 181 al. 1 et 3 aLPC).</w:t>
      </w:r>
    </w:p>
    <w:p>
      <w:r>
        <w:rPr>
          <w:b/>
        </w:rPr>
        <w:t>E. 4.2</w:t>
      </w:r>
    </w:p>
    <w:p>
      <w:r>
        <w:t>Les frais de la procédure de recours seront mis à la charge des intimés, qui succombent (art. 106 al. 1 CPC). Les frais judiciaires seront arrêtés à 3'500 fr., comprenant l'émolument forfaitaire de la présente décision (art. 13, 26 et 38 RTFMC), celui de l'arrêt du 25 janvier 2016, les frais de publication, dans la Feuille d'avis officielle de la République et Canton de Genève, de l'arrêt du 25 janvier 2016 et du présent arrêt. Ils seront compensés avec l'avance du même montant fournie par la recourante, qui reste acquise à l'Etat de Genève (art. 111 al. 1 CPC). Les intimés seront condamnés à rembourser ce montant à la recourante. Les intimés seront également condamnés à verser à la recourante 4'000 fr. à titre de dépens, débours et TVA compris (art. 84, 86 et 90 RTFMC; art. 25 et 26 LaCC). * * * * *</w:t>
      </w:r>
    </w:p>
    <w:p>
      <w:r>
        <w:t>- 10/11 -</w:t>
      </w:r>
    </w:p>
    <w:p>
      <w:r>
        <w:t>C/17767/2010 PAR CES MOTIFS, La Chambre civile : A la forme : Déclare recevable le recours interjeté le 7 août 2015 par A______ contre le jugement JTPI/8574/2015 rendu le 20 juillet 2015 par le Tribunal de première instance dans la cause C/17767/2010-7. Au fond : Annule ce jugement et statuant à nouveau : Déboute B______, C______, D______, E______, F______, G______, H______ et I______ des fins de leur requête en reconnaissance de l'acte d'hoirie établi le 5 mai 2007 par le Tribunal des affaires de la famille de ______ en Egypte. Déboute les parties de toutes autres conclusions. Sur les frais : Condamne B______, C______, D______, E______, F______, G______, H______ et I______, conjointement et solidairement, en tous les dépens de première instance, comprenant une indemnité de procédure de 1'000 fr. valant participation aux honoraires d'avocat de A______. Arrête les frais judiciaires du recours à 3'500 fr., les met à la charge de B______, C______, D______, E______, F______, G______, H______ et I______ et les compense avec l'avance effectuée par A______, qui reste acquise à l'Etat de Genève. Condamne B______, C______, D______, E______, F______, G______, H______ et I______, conjointement et solidairement, à verser à A______ 3'500 fr. à titre de remboursement des frais judiciaires de recours, ainsi que 4'000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- 11/11 -</w:t>
      </w:r>
    </w:p>
    <w:p>
      <w:r>
        <w:t>C/17767/2010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