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ACJC/533/2014 vom 7. Mai 2014</w:t>
      </w:r>
    </w:p>
    <w:p>
      <w:r>
        <w:t>GE Cour de justice, 2014-05-07, FR</w:t>
      </w:r>
    </w:p>
    <w:p>
      <w:r>
        <w:rPr>
          <w:b/>
        </w:rPr>
        <w:t xml:space="preserve">Quelle: </w:t>
      </w:r>
      <w:r>
        <w:t>https://mcp.opencaselaw.ch/entscheid/ge_gerichte_ACJC_533_2014</w:t>
      </w:r>
    </w:p>
    <w:p>
      <w:r>
        <w:t>FR: GE_GERICHTE ACJC/533/2014 du 7 mai 2014</w:t>
      </w:r>
    </w:p>
    <w:p>
      <w:r>
        <w:t>IT: GE_GERICHTE ACJC/533/2014 del 7 maggio 2014</w:t>
      </w:r>
    </w:p>
    <w:p>
      <w:pPr>
        <w:pStyle w:val="Heading2"/>
      </w:pPr>
      <w:r>
        <w:t>Erwägungen</w:t>
      </w:r>
    </w:p>
    <w:p>
      <w:r>
        <w:rPr>
          <w:b/>
        </w:rPr>
        <w:t>E. 1.1</w:t>
      </w:r>
    </w:p>
    <w:p>
      <w:r>
        <w:t>L'ordonnance querellée constitue une décision d'ordre procédural, qui entre dans la catégorie des autres décisions et ordonnances d'instruction de première instance (art. 319 let. b CPC) et qui est, par nature, exclue du champ de l'appel (JEANDIN, in CPC commenté, BOHNET/HALDY/JEANDIN/SCHWEIZER/TAPPY, 2011, n. 10, 14 et 15 ad art. 319 CPC; TAPPY, in CPC commenté précité, n. 15 ad art. 229 CPC). La décision entreprise est en revanche susceptible d'un recours immédiat stricto sensu dans les dix jours à compter de sa notification (art. 321 al. 2 CPC), pour autant que la recourante soit menacé d'un préjudice difficilement réparable au sens de l'art. 319 let. b ch. 2 CPC. La Cour examine d'office si les conditions de recevabilité d'un tel recours sont réunies (art. 60 CPC; JEANDIN, op. cit., n. 9 ad art. 312 CPC; TAPPY, Les voies de droit du nouveau Code de procédure civile in JdT 2010 III 115 ss, p. 141; HOHL, Procédure civile, Tome II, 2ème éd., 2010, n. 2225 p. 408; CHAIX, Introduction au recours de la nouvelle procédure civile fédérale in SJ 2009 II p. 257 ss, p. 259). En l'espèce, le recours a été introduit dans les délai et forme prescrits par la loi (art. 130, 131 et 321 CPC), de sorte qu'il est recevable sous cet angle. 1.2.1 Reste à déterminer si l'ordonnance querellée est susceptible de causer un préjudice difficilement réparable à la recourante. La notion de "préjudice difficilement réparable" est plus large que celle de "préjudice irréparable" au sens de l'art. 93 al. 1 let. a LTF (ATF 137 III 380 consid. 2 = SJ 2012 I 73; arrêt du Tribunal fédéral 5D_211/2011 du 30 mars 2012 consid. 6.3; ACJC/327/2012 du 9 mars 2012, consid. 2.4). Est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sous peine d'ouvrir le recours à toute décision ou ordonnance d'instruction, ce que le législateur a clairement exclu; il s'agit en effet de se prémunir contre le risque d'un prolongement sans fin du procès (JEANDIN, op. cit., n. 22 ad art. 319 CPC; GUYAN, Beweisverfügung nach Art. 154 ZPO in ZZZ 2011/2012, p. 175; REICH in BAKER &amp; MC KENZIE, Schweizerische Zivilprozessordnung (ZPO), 2010, n. 8 et 10 ad art. 319 CPC). Le préjudice sera ainsi considéré comme difficilement réparable s'il ne peut pas être supprimé ou seulement partiellement, même dans l'hypothèse d'une décision finale favorable au recourant (REICH, op. cit., n. 8 ad art. 319 CPC). Le risque de</w:t>
      </w:r>
    </w:p>
    <w:p>
      <w:r>
        <w:t>- 5/7 -</w:t>
      </w:r>
    </w:p>
    <w:p>
      <w:r>
        <w:t>C/14186/2012 ne pas obtenir gain de cause existe pour toute partie dans toute procédure; il ne constitue cependant pas un dommage difficile à réparer (cf. dans ce sens TC/VS décision TCV C3 11 125 du 7 novembre 2011 consid. 2c).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(ACJC/35/2014 du 10 janvier 2014 consid. 1.2.1). C'est au recourant qu'il appartient d'alléguer et d'établir la possibilité que la décision incidente lui cause un préjudice difficilement réparable, à moins que cela ne fasse d'emblée aucun doute (par analogie ATF 134 III 426 consid. 1.2 et 133 III 629 consid. 2.3.1). Lorsque la condition du préjudice difficilement réparable n'est pas remplie, la décision incidente n'est alors attaquable qu'avec le jugement au fond (Message du Conseil fédéral relatif au CPC, FF 2006 6841, p. 6984; JEANDIN, op. cit., n. 24 et ss ad art. 319 CPC; BRUNNER, in Kurzkommentar, Schweizerische Zivilprozessordnung ZPO, 2014, n. 13 ad art. 319 CPC; BLICKENSTORFER in Schweizerische Zivilprozessordnung [ZPO], BRUNNER/GASSER/SCHWANDER, 2011, n. 40 ad art. 319 CPC). 1.2.2 En l'espèce, sous l'angle de la recevabilité du recours, la recourante se contente de faire valoir que si les allégués et moyens de preuve nouveaux ressortant de son mémoire de "surduplique" devaient être définitivement écartés, le risque existerait que le Tribunal fonde son jugement (notamment en ce qui concerne l'interprétation du contrat liant les parties) sur la pratique, contestée, de la société gestionnaire de la Fondation, ce qui aurait pour effet de réduire ses chances de succès dans le litige. Par cette argumentation, la recourante ne démontre pas en quoi la décision querellée serait susceptible de lui causer un préjudice difficilement réparable. En effet, le simple risque - hypothétique à ce stade - de jugement défavorable envers la recourante, n'est pas, en tant que tel, susceptible de lui créer un préjudice irréparable, puisqu'elle aura alors la possibilité de former un appel devant la Cour et d'attaquer, le cas échéant, la décision présentement querellée avec le jugement au fond. Son recours doit dès lors être déclaré irrecevable.</w:t>
      </w:r>
    </w:p>
    <w:p>
      <w:r>
        <w:t>- 6/7 -</w:t>
      </w:r>
    </w:p>
    <w:p>
      <w:r>
        <w:t>C/14186/2012</w:t>
      </w:r>
    </w:p>
    <w:p>
      <w:r>
        <w:rPr>
          <w:b/>
        </w:rPr>
        <w:t>E. 2</w:t>
      </w:r>
    </w:p>
    <w:p>
      <w:r>
        <w:t>La recourante, qui succombe, sera condamnée aux frais judiciaires du recours, fixés à 800 fr. (art. 104 al. 1, 105 et 106 al. 1 CPC, art. 41 Règlement fixant le tarif des greffes en matière civile [RTFMC; E 1 05.10]). Ils sont entièrement compensés par l'avance de frais effectuée par celle-ci, qui reste acquise à l'Etat (art. 111 al. 1 CPC). La recourante sera en outre condamnée aux dépens de sa partie adverse, arrêtés à 1'500 fr., débours et TVA compris (art. 25 et 26 LaCC). Il se justifie en effet de réduire les dépens qui pourraient être fixés sur la base des dispositions idoines du RTFMC en fonction de la valeur litigieuse (art. 94 CPC), compte tenu des critères de l'art. 20 al. 1 LaCC, ainsi que de la disproportion manifeste entre le taux applicable selon la loi et le travail effectif du conseil de l'intimée en l'espèce (art. 23 al. 1 LaCC) et de l'issue du litige (soit l'irrecevabilité du recours; art. 23 al. 2 LaCC). * * * * *</w:t>
      </w:r>
    </w:p>
    <w:p>
      <w:r>
        <w:t>- 7/7 -</w:t>
      </w:r>
    </w:p>
    <w:p>
      <w:r>
        <w:t>C/14186/2012 PAR CES MOTIFS, La Chambre civile : Déclare irrecevable le recours interjeté le 5 décembre 2013 par A______ contre l'ordonnance rendue le 25 novembre 2013 par le Tribunal de première instance dans la cause C/14186/2012-3. Arrête les frais judiciaires de la procédure de recours à 800 fr. Les met à la charge de A______ et dit qu’ils sont compensés par l’avance de frais de 800 fr. effectuée par cette dernière, qui reste acquise à l'Etat. Condamne A______ à verser 1'500 fr. à B______ à titre de dépens. Déboute les parties de toutes autres conclusions. Siégeant : Madame Valérie LAEMMEL-JUILLARD, présidente; Madame Nathalie LANDRY- BARTHE, Monsieur Laurent RIEBEN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selon l'art. 93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