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ACJC/531/2019 vom 9. April 2019</w:t>
      </w:r>
    </w:p>
    <w:p>
      <w:r>
        <w:t>GE Cour de justice, 2019-04-09, FR</w:t>
      </w:r>
    </w:p>
    <w:p>
      <w:r>
        <w:rPr>
          <w:b/>
        </w:rPr>
        <w:t xml:space="preserve">Quelle: </w:t>
      </w:r>
      <w:r>
        <w:t>https://mcp.opencaselaw.ch/entscheid/ge_gerichte_ACJC_531_2019</w:t>
      </w:r>
    </w:p>
    <w:p>
      <w:r>
        <w:t>FR: GE_GERICHTE ACJC/531/2019 du 9 avril 2019</w:t>
      </w:r>
    </w:p>
    <w:p>
      <w:r>
        <w:t>IT: GE_GERICHTE ACJC/531/2019 del 9 aprile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Interjeté dans les délais prescrits et selon la forme requise, le recours est recevable.</w:t>
      </w:r>
    </w:p>
    <w:p>
      <w:r>
        <w:rPr>
          <w:b/>
        </w:rPr>
        <w:t>E. 1.2</w:t>
      </w:r>
    </w:p>
    <w:p>
      <w:r>
        <w:t>Les conclusions, les allégations de faits et les preuves nouvelles sont irrecevables (art. 326 al. 1 CPC). Ainsi, les pièces nouvelles produites par le recourant sont irrecevables en tant qu'elles n'ont pas été produites devant le Tribunal, ainsi que les allégués de faits y afférant.</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3</w:t>
      </w:r>
    </w:p>
    <w:p>
      <w:r>
        <w:t>Le recourant fait grief au Tribunal d'avoir prononcé la mainlevée définitive de l'opposition à hauteur de 77'600 fr. Selon lui, les créances en aliment de sa fille C______ datant d'octobre 2006 à fin décembre 2012 étaient prescrites. Ainsi, seules les pensions du 1er janvier 2013 au 22 mai 2018 (date de la réquisition de poursuite) étaient exigibles et représentaient un montant maximal de 43'567 fr. 75.</w:t>
      </w:r>
    </w:p>
    <w:p>
      <w:r>
        <w:t>- 5/10 -</w:t>
      </w:r>
    </w:p>
    <w:p>
      <w:r>
        <w:t>C/14887/2018</w:t>
      </w:r>
    </w:p>
    <w:p>
      <w:r>
        <w:rPr>
          <w:b/>
        </w:rPr>
        <w:t>E. 3.1</w:t>
      </w:r>
    </w:p>
    <w:p>
      <w:r>
        <w:t>Aux termes de l'art. 80 al. 1 LP, le créancier qui est au bénéfice d'un jugement exécutoire peut requérir du juge la mainlevée définitive de l'opposition.</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t>Il ne lui appartient pas davantage de trancher des questions délicates de droit matériel ou pour la solution desquelles le pouvoir d'appréciation joue un rôle important, dont la connaissance ressort exclusivement au juge du fond (ATF 124 III 501 consid. 3a; 113 III consid. 1b).</w:t>
      </w:r>
    </w:p>
    <w:p>
      <w:r>
        <w:rPr>
          <w:b/>
        </w:rPr>
        <w:t>E. 3.2</w:t>
      </w:r>
    </w:p>
    <w:p>
      <w:r>
        <w:t>L'art. 128 ch. 2 CO dispose que se prescrivent par cinq ans les actions pour fournitures de vivres, pension alimentaire et dépenses d'auberge. L'art. 134 al. 1 ch. 1 CO, entré en vigueur depuis le 1er janvier 2017, prévoit la suspension de la prescription à l'égard des créances des enfants contre leurs père et mère, jusqu'à la majorité des enfants, indépendamment de la question de l'autorité parentale. Auparavant, l'art. 134 al. 1 ch. 1 aCO prévoyait que la prescription ne courait point et, si elle avait commencé à courir, elle était suspendue à l'égard des créances des enfants contre leurs père et mère, tant que durait l'autorité parentale. Selon le Message du Conseil fédéral concernant la révision du code civil suisse (entretien de l'enfant) du 29 novembre 2013, cette disposition est immédiatement applicable dès son entrée en vigueur (art. 1 al. 3 et art. 3 titre final CC), (FF 2014 p. 570, 2.7.1).</w:t>
      </w:r>
    </w:p>
    <w:p>
      <w:r>
        <w:t>- 6/10 -</w:t>
      </w:r>
    </w:p>
    <w:p>
      <w:r>
        <w:t>C/14887/2018</w:t>
      </w:r>
    </w:p>
    <w:p>
      <w:r>
        <w:t>A teneur du Message,"dans le but de renforcer le droit de l’enfant à son entretien, le Conseil fédéral propose notamment d’ancrer dans la loi le principe de la priorité de l’obligation d’entretien à l’égard d’un enfant mineur sur les autres obligations d’entretien du droit de la famille. De plus, chaque enfant a droit à une contribution d’entretien qui ne se limite pas à couvrir ses besoins courants, mais qui lui garantit également la possibilité de bénéficier de la forme de prise en charge qui lui convient le mieux, par un tiers (par ex. une maman de jour ou une crèche) ou par les parents eux-mêmes. Le coût lié à la prise en charge de l’enfant par le parent qui s’occupe de lui est donc pris en compte lors de la détermination de la contribution d’entretien pour l’enfant. La position de l’enfant va être renforcée aussi dans les procédures du droit de la famille. Il ne suffit toutefois pas que l’enfant ait droit à une contribution. Il importe tout autant qu’il reçoive à temps et régulièrement les moyens d’assurer son entretien" (Message, op. cit., p. 512).</w:t>
      </w:r>
    </w:p>
    <w:p>
      <w:r>
        <w:rPr>
          <w:b/>
        </w:rPr>
        <w:t>E. 3.3</w:t>
      </w:r>
    </w:p>
    <w:p>
      <w:r>
        <w:t>En l'occurrence, la fille du recourant, née le ______ 2001, est encore mineure. Les montants requis en poursuite correspondent aux contributions à l'entretien de celle-ci que le recourant n'a pas versées depuis le prononcé du jugement de divorce du 16 octobre 2006, jugement valant titre de mainlevée définitive.</w:t>
      </w:r>
    </w:p>
    <w:p>
      <w:r>
        <w:t>A teneur de texte et du Message précité, le nouvel art. 134 al. 1 ch. 1 CO est immédiatement applicable. L'enfant est mineure, de sorte que ses créances alimentaires ne sont pas prescrites.</w:t>
      </w:r>
    </w:p>
    <w:p>
      <w:r>
        <w:t>Par conséquent, le recourant n'a pas rendu vraisemblable le moyen libératoire invoqué.</w:t>
      </w:r>
    </w:p>
    <w:p>
      <w:r>
        <w:rPr>
          <w:b/>
        </w:rPr>
        <w:t>E. 4</w:t>
      </w:r>
    </w:p>
    <w:p>
      <w:r>
        <w:t>Le recourant fait valoir en compensation les frais de l'enfant qu'il dit avoir réglés directement en mains de tiers, en particulier les frais de dentiste, de téléphone, de loisirs (école de chant, cours de ukulélé et cours de danse), d'abonnement CFF et d'assurances. Par ailleurs, l'intimée commettrait un abus de droit en requérant, après plus de douze ans, le paiement d'anciennes contributions d'entretien.</w:t>
      </w:r>
    </w:p>
    <w:p>
      <w:r>
        <w:rPr>
          <w:b/>
        </w:rPr>
        <w:t>E. 4.1</w:t>
      </w:r>
    </w:p>
    <w:p>
      <w:r>
        <w:t>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En ce qui concerne plus particulièrement le moyen tiré de l'extinction ou de la non-exigibilité de la dette, il faut que le débiteur démontre que la dette a cessé d'exister ou d'être exigible après le prononcé du jugement constituant le titre de mainlevée (GILLIERON, Commentaire de la loi fédérale sur la poursuite pour dettes et la faillite, Articles 1-88, 1999, n. 44 ad art. 81 LP; SCHMIDT, in Commentaire</w:t>
      </w:r>
    </w:p>
    <w:p>
      <w:r>
        <w:t>- 7/10 -</w:t>
      </w:r>
    </w:p>
    <w:p>
      <w:r>
        <w:t>C/14887/2018</w:t>
      </w:r>
    </w:p>
    <w:p>
      <w:r>
        <w:t>romand, Poursuite et faillite, Dallèves/Foëx/Jeandin [éd.], 2005, n. 4 ad art. 81 LP).</w:t>
      </w:r>
    </w:p>
    <w:p>
      <w:r>
        <w:rPr>
          <w:b/>
        </w:rPr>
        <w:t>E. 4.2</w:t>
      </w:r>
    </w:p>
    <w:p>
      <w:r>
        <w:t>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125 III 42 consid. 2b p. 44 in fine; ATF 124 III 501 consid. 3a et les références). Le titre de mainlevée au sens de l'art. 81 al. 1 LP créant la présomption que la dette existe, cette présomption ne peut être renversée que par la preuve stricte du contraire (ATF 124 III 501 consid. 3b p. 504). Cependant, cette preuve n'est pas apportée si la créance compensante est contestée (ATF 136 III 624 consid. 4.2.3).</w:t>
      </w:r>
    </w:p>
    <w:p>
      <w:r>
        <w:rPr>
          <w:b/>
        </w:rPr>
        <w:t>E. 4.3</w:t>
      </w:r>
    </w:p>
    <w:p>
      <w:r>
        <w:t>Selon l'art. 120 al. 1 CO, lorsque deux personnes sont débitrices l'une envers l'autre de sommes d'argent ou d'autres prestations de même espèce, chacune des parties peut compenser sa dette avec sa créance, si les deux dettes sont exigibles. L'art. 125 ch. 2 CO exclut, sauf accord du créancier, la compensation des créances dont la nature spéciale exige le paiement effectif entre les mains du créancier, telles que les aliments absolument nécessaires à l'entretien du débiteur et de sa famille. Une compensation vise à préserver l'entretien du créancier d'aliments. Elle est interdite, si elle est effectuée sans l'accord du créancier (JEANDIN, Commentaire Romand, CO I, n. 8 ad art. 125 CO).</w:t>
      </w:r>
    </w:p>
    <w:p>
      <w:r>
        <w:rPr>
          <w:b/>
        </w:rPr>
        <w:t>E. 4.4</w:t>
      </w:r>
    </w:p>
    <w:p>
      <w:r>
        <w:t>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w:t>
      </w:r>
    </w:p>
    <w:p>
      <w:r>
        <w:t>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w:t>
      </w:r>
    </w:p>
    <w:p>
      <w:r>
        <w:t>L'abus de droit doit être admis restrictivement, comme l'exprime l'adjectif «manifeste» utilisé dans le texte légal (ATF 143 III 279 consid. 3.1; 135 III 162 consid. 3.3.1 et les arrêts cités).</w:t>
      </w:r>
    </w:p>
    <w:p>
      <w:r>
        <w:t>- 8/10 -</w:t>
      </w:r>
    </w:p>
    <w:p>
      <w:r>
        <w:t>C/14887/2018</w:t>
      </w:r>
    </w:p>
    <w:p>
      <w:r>
        <w:t>Le débiteur commet un abus de droit au sens de l'art.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Ainsi, quand le débiteur - alors que le délai de prescription courait encore - a déterminé le créancier à attendre, il abuse de son droit en lui reprochant ensuite de n'avoir pas agi après s'être prévalu de la prescription (venire contra factum proprium; ATF 143 III 348 consid. 5.5.1; 128 V 236 consid. 4a; 113 II 269 consid. 2e et les références; cf. également ATF 131 III 430 consid. 2). Le comportement en cause peut par exemple consister à maintenir le créancier dans l'espoir que des discussions aboutiront à une solution favorable à ses intérêts (cf. arrêt C.114/1987 du 6 juillet 1987 consid. 4; SPIRO, Die Begrenzung privater Rechte durch Verjährungs-, Verwirkungs- und Fatalfristen, vol. I, 1975, p. 245 ss). Le comportement du débiteur doit être en relation de causalité avec le retard à agir du créancier (ATF 143 III 348 consid. 5.5.1; 128 V 236 consid. 4a; arrêt du Tribunal fédéral 4A_303/2017 du 13 décembre 2017 consid. 3.3).</w:t>
      </w:r>
    </w:p>
    <w:p>
      <w:r>
        <w:t>S'il n'est pas exclu d'invoquer l'abus de droit dans la procédure de mainlevée définitive, son application reste exceptionnelle. Seule l'exécution du jugement doit apparaître abusive, et non le contenu de celui-ci. Agit par exemple abusivement le conjoint qui poursuit le paiement du solde de contributions censées couvrir notamment le paiement des intérêts hypothécaires du logement alors qu'il a négligé de procéder à ces paiements et que le débiteur d'entretien, qui a dû les payer à sa banque en sa qualité de débiteur solidaire, a réduit les contributions d'un montant correspondant (ABBET/VEUILLET, La mainlevée de l'opposition, 2017, n. 24 ad art. 81 LP).</w:t>
      </w:r>
    </w:p>
    <w:p>
      <w:r>
        <w:rPr>
          <w:b/>
        </w:rPr>
        <w:t>E. 4.5</w:t>
      </w:r>
    </w:p>
    <w:p>
      <w:r>
        <w:t>En l'espèce, il est constant que par jugement du 16 octobre 2006, le Tribunal a donné acte, et condamné en tant que de besoin, le recourant à verser en mains de l'intimée, à compter du 1er novembre 2006 et par mois d'avance, à titre de contribution à l'entretien de sa fille, la somme de 400 fr. jusqu'au 10 ans de l'enfant, 600 fr. de 10 à 15 ans et 800 fr. jusqu'à sa majorité, voire au-delà, si l'enfant bénéficiaire poursuivait une formation professionnelles ou des études sérieuses et régulières. Le premier juge a retenu, à juste titre, que la pièce produite par la recourante, soit le jugement du 16 octobre 2006 suscité constituait un titre de mainlevée définitif au sens de l'art. 80 al. 1 LP. Le recourant invoque l'extinction d'une partie de sa dette intervenue par compensation, en raison du paiement de plusieurs factures pour le compte de sa fille. Il se prévaut d'un accord verbal avec l'intimée portant sur les paiements</w:t>
      </w:r>
    </w:p>
    <w:p>
      <w:r>
        <w:t>- 9/10 -</w:t>
      </w:r>
    </w:p>
    <w:p>
      <w:r>
        <w:t>C/14887/2018</w:t>
      </w:r>
    </w:p>
    <w:p>
      <w:r>
        <w:t>desdites factures, venant compenser les créances en entretien de sa fille. Conformément aux principes rappelés ci-avant, la compensation ne peut intervenir, dans le cadre de la mainlevée définitive, que si la créance compensante résulte elle-même d'un titre exécutoire ou qu'elle est admise sans réserve par le poursuivant. Or, en l'espèce, l'intimée a contesté l'existence d'un accord. Le recourant n'a par ailleurs produit aucun autre titre permettant de retenir une créance compensante. Le recourant n'a ainsi pas rendu vraisemblable l'extinction partielle par compensation de la dette requise en poursuite. Enfin, l'intimée ne commet pas un abus de droit à requérir le paiement des contributions d'entretien dues de sa fille, même plusieurs années après l'exigibilité de celles-ci. En effet, le recourant reconnaît lui-même devoir à tout le moins la somme de 18'677 fr. 25 à titre d'arriérés de contribution d'entretien à l'intimée. Par ailleurs, et comme retenu ci-avant, le recourant n'a pas rendu vraisemblable un accord de l'intimée visant à ce que le recourant s'acquitte directement de frais de l'enfant, de sorte qu'elle est fondée à en réclamer le paiement.</w:t>
      </w:r>
    </w:p>
    <w:p>
      <w:r>
        <w:rPr>
          <w:b/>
        </w:rPr>
        <w:t>E. 4.6</w:t>
      </w:r>
    </w:p>
    <w:p>
      <w:r>
        <w:t>Les griefs du recourant sont ainsi infondés, de sorte que le recours sera rejeté.</w:t>
      </w:r>
    </w:p>
    <w:p>
      <w:r>
        <w:rPr>
          <w:b/>
        </w:rPr>
        <w:t>E. 5</w:t>
      </w:r>
    </w:p>
    <w:p>
      <w:r>
        <w:t>Le recourant, qui succombe, supportera les frais de son recours (art. 106 al. 1 CPC). Les frais judiciaires du recours, y compris pour la décision sur effet suspensif, seront arrêté à 750 fr. (art. 48 et 61 OELP) et compensés avec l'avance de frais du même montant versée par le recourant, acquise à l'Etat de Genève (art. 111 al. 1 CPC). Celui-ci sera en outre condamné à verser à l'intimée la somme de 1'500 fr. à titre de dépens de recours, débours et TVA compris (art. 1 let. c, art. 96 et 105 al. 2 CPC; art. 85, 89 et 90 RTFMC; art. 20 al. 4, 25 et 26 LaCC).</w:t>
      </w:r>
    </w:p>
    <w:p>
      <w:r>
        <w:rPr>
          <w:b/>
        </w:rPr>
        <w:t>E. 6</w:t>
      </w:r>
    </w:p>
    <w:p>
      <w:r>
        <w:t>La valeur litigieuse, au sens de l'art. 51 LTF, est supérieure à 30'000 fr. * * * * *</w:t>
      </w:r>
    </w:p>
    <w:p>
      <w:r>
        <w:t>- 10/10 -</w:t>
      </w:r>
    </w:p>
    <w:p>
      <w:r>
        <w:t>C/14887/2018</w:t>
      </w:r>
    </w:p>
    <w:p>
      <w:r>
        <w:t>PAR CES MOTIFS, La Chambre civile : A la forme : Déclare recevable le recours interjeté par A______ contre le jugement JTPI/17875/2018 rendu le 15 novembre 2018 par le Tribunal de première instance dans la cause C/14887/2018-24 SML. Au fond : Le rejette. Déboute les parties de toutes autres conclusions. Sur les frais : Arrête les frais judiciaires à 750 fr., les met à la charge de A______, compensés avec l'avance de frais fournie, acquise à l'Etat de Genève. Condamne A______ à verser à B______ le somme de 1'500 fr. à titre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