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ACJC/530/2018 vom 24. April 2018</w:t>
      </w:r>
    </w:p>
    <w:p>
      <w:r>
        <w:t>GE Cour de justice, 2018-04-24, FR</w:t>
      </w:r>
    </w:p>
    <w:p>
      <w:r>
        <w:rPr>
          <w:b/>
        </w:rPr>
        <w:t xml:space="preserve">Quelle: </w:t>
      </w:r>
      <w:r>
        <w:t>https://mcp.opencaselaw.ch/entscheid/ge_gerichte_ACJC_530_2018</w:t>
      </w:r>
    </w:p>
    <w:p>
      <w:r>
        <w:t>FR: GE_GERICHTE ACJC/530/2018 du 24 avril 2018</w:t>
      </w:r>
    </w:p>
    <w:p>
      <w:r>
        <w:t>IT: GE_GERICHTE ACJC/530/2018 del 24 aprile 2018</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271 let. a et 314 al. 1 CPC), suivant la forme écrite prescrite par la loi (art. 130, 131, 311 al. 1 CPC), dans une cause où</w:t>
      </w:r>
    </w:p>
    <w:p>
      <w:r>
        <w:t>- 6/13 -</w:t>
      </w:r>
    </w:p>
    <w:p>
      <w:r>
        <w:t>C/18149/2017 la valeur des contributions périodiques réclamées excède 10'000 fr. (cf. art. 92 al. 2 CPC), l'appel est en l'espèce recevable.</w:t>
      </w:r>
    </w:p>
    <w:p>
      <w:r>
        <w:rPr>
          <w:b/>
        </w:rPr>
        <w:t>E. 1.2</w:t>
      </w:r>
    </w:p>
    <w:p>
      <w:r>
        <w:t>Les parties, qui sont de nationalité étrangère, sont domiciliées à Genève. Avec raison, elles ne remettent pas en cause la compétence des tribunaux genevois pour connaître du litige (art. 46 LDIP), ni l'application du droit suisse (art. 49 LDIP et art. 4 de la Convention de La Haye du 2 octobre 1973 sur la loi applicable aux obligations alimentaires [RS 0.211.213.01]).</w:t>
      </w:r>
    </w:p>
    <w:p>
      <w:r>
        <w:rPr>
          <w:b/>
        </w:rPr>
        <w:t>E. 1.3</w:t>
      </w:r>
    </w:p>
    <w:p>
      <w:r>
        <w:t>La Cour revoit la cause avec un plein pouvoir d'examen (art. 310 CPC). Les mesures protectrices de l'union conjugale étant soumises à la procédure sommaire (art. 271 let. a CPC), sa cognition est toutefois limitée à la simple vraisemblance des faits et à un examen sommaire du droit (ATF 127 III 474 consid. 2b/bb; arrêt du Tribunal fédéral 5A_762/2013 du 27 mars 2014 consid. 2.2). Dans la mesure des conclusions prises en appel (art. 315 al. 1 CPC), la Cour établit les faits d'office (art. 272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 possibilité pour les parties d'invoquer des faits et moyens de preuve nouveaux en procédure d'appel (ATF 138 III 625 consid. 2.2; arrêt du Tribunal fédéral 4A_310/2012 du 1er octobre 2012 consid. 2.1). La loi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En l'espèce, l'intimé a produit devant la Cour un bordereau de pièces non soumises au premier juge (à l'exception des fiches de salaire pour les mois de juin à août 2017, déjà produites). Plusieurs de ces pièces nouvelles sont toutefois antérieures au 8 décembre 2017, date à laquelle le Tribunal a gardé la cause à juger. Tel est le cas des mouvements de compte antérieurs au mois de décembre 2017, des fiches de salaire pour les mois de juillet 2016 à mai 2017 et de septembre 2017 à novembre 2017, des relevés de frais médicaux du mois de mai 2017 et du bail à loyer daté du 28 juillet 2016.</w:t>
      </w:r>
    </w:p>
    <w:p>
      <w:r>
        <w:t>- 7/13 -</w:t>
      </w:r>
    </w:p>
    <w:p>
      <w:r>
        <w:t>C/18149/2017 L'intimé n'expose pas de manière convaincante les raisons pour lesquelles il n'aurait pas été en mesure de produire ces pièces devant le premier juge. Le fait que l'appelante n'ait pas spécifiquement contesté certains points relatifs à sa situation financière ne dispensait notamment pas l'intimé d'établir complètement le montant de ses revenus et de ses charges. Les pièces susvisées sont dès lors irrecevables devant la Cour et leur contenu ne sera pas pris en compte.</w:t>
      </w:r>
    </w:p>
    <w:p>
      <w:r>
        <w:rPr>
          <w:b/>
        </w:rPr>
        <w:t>E. 3</w:t>
      </w:r>
    </w:p>
    <w:p>
      <w:r>
        <w:t>Sur le fond, l'appelante reproche au Tribunal de ne pas avoir fait droit à ses conclusions en paiement d'une contribution d'entretien. Elle lui reproche en particulier de ne pas avoir appliqué strictement la méthode du minimum vital et d'avoir considéré que les dépenses relatives à son fils C______ n'étaient pas nécessaires au maintien de son train de vie.</w:t>
      </w:r>
    </w:p>
    <w:p>
      <w:r>
        <w:rPr>
          <w:b/>
        </w:rPr>
        <w:t>E. 3.1</w:t>
      </w:r>
    </w:p>
    <w:p>
      <w:r>
        <w:t>Lorsque la suspension de la vie commune est fondée, le juge fixe, à la requête de l'un des conjoints, la contribution pécuniaire à verser par l'une des parties à l'autre (art. 176 al. 1 ch. 1 CC).</w:t>
      </w:r>
    </w:p>
    <w:p>
      <w:r>
        <w:rPr>
          <w:b/>
        </w:rPr>
        <w:t>E. 3.1.1</w:t>
      </w:r>
    </w:p>
    <w:p>
      <w:r>
        <w:t>Tant que dure le mariage, les époux doivent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5A_920/2016 du 5 juillet 2017 consid. 4.1.1; 5A_267/2014 du 15 septembre 2014 consid. 5.1; 5A_173/2013 du 4 juillet 2013 consid. 4.2). La loi ne prescrit toutefois pas de méthode de calcul particulière pour arrêter la contribution d'entretien de l'époux ou de l'enfant. Sa fixation relève de l'appréciation du juge, qui jouit d'un large pouvoir d'appréciation et applique les règles du droit et de l'équité (art. 4 CC; ATF 134 III 577 consid. 4; arrêt du Tribunal fédéral 5A_267/2014 cité consid. 5.1). Selon la jurisprudence,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w:t>
      </w:r>
    </w:p>
    <w:p>
      <w:r>
        <w:t>- 8/13 -</w:t>
      </w:r>
    </w:p>
    <w:p>
      <w:r>
        <w:t>C/18149/2017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 La preuve de l'une ou l'autre des conditions permettant d'appliquer la méthode du minimum vital élargi incombe à l'époux qui en demande l'application (DESCHENAUX/STEINAUER/BADDELEY, Les effets du mariage, 3ème éd., 2017, p. 412, n. 651).</w:t>
      </w:r>
    </w:p>
    <w:p>
      <w:r>
        <w:rPr>
          <w:b/>
        </w:rPr>
        <w:t>E. 3.1.2</w:t>
      </w:r>
    </w:p>
    <w:p>
      <w:r>
        <w:t>Il résulte du devoir général d'assistance entre époux prévu à l'art. 159 al. 3 CC,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(cf. arrêts du Tribunal fédéral 5A_685/2008 du 18 décembre 2008 consid. 3.2.4; 5C.53/2005 du 31 mai 2005 consid. 4.1) - est toutefois subsidiaire.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w:t>
      </w:r>
    </w:p>
    <w:p>
      <w:r>
        <w:rPr>
          <w:b/>
        </w:rPr>
        <w:t>E. 3.1.3</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 3.2.1 En l'espèce, les revenus cumulés des parties totalisent, depuis leur retour à Genève, plus de 22'000 fr. net par mois. Il n'est pas contesté que ces revenus leur permettent de couvrir les frais supplémentaires liés à l'existence de deux ménages séparés, ce d'autant que les parties n'ont pas d'enfants communs ni d'enfants mineurs à leur charge. La situation financière des parties doit dès lors être qualifiée de favorable, au sens des principes rappelés ci-dessus. Nonobstant la présence d'enfants majeurs de part et d'autre, rien n'indique par ailleurs que les parties auraient consacré l'entier de leurs revenus à l'entretien de la famille durant la vie commune et qu'elles n'auraient pas constitué d'économies. Il est au contraire établi que les parties ont, durant ladite vie commune, acquis un appartement en</w:t>
      </w:r>
    </w:p>
    <w:p>
      <w:r>
        <w:t>- 9/13 -</w:t>
      </w:r>
    </w:p>
    <w:p>
      <w:r>
        <w:t>C/18149/2017 L______, dont le prix de 165'000 EUR indiqué par l'intimé n'est pas contesté par l'appelante. Une telle acquisition n'a vraisemblablement pu être financée qu'au moyen d'économies constituées par les époux, en particulier grâce aux substantiels revenus de l'intimé. Il n'apparaît pas non plus que la création de deux ménages séparés empêcherait désormais la constitution de telles économies : l'appelante soutient elle-même que le budget familial présente actuellement un excédent, dont elle sollicite le partage. Dans ces conditions, pour statuer sur l'obligation d'entretien entre époux, le Tribunal a considéré à bon droit qu'il n'y avait pas lieu d'appliquer la méthode du minimum vital avec partage du disponible, mais qu'il convenait de se fonder sur les dépenses nécessaires au maintien du train de vie mené durant la vie commune. 3.2.2 S'agissant du train de vie mené durant la vie commune, l'appelante n'allègue pas ni n'établit le détail des dépenses nécessaires au maintien dudit train de vie. Bien que le fardeau de la preuve lui incombe sur ce point, cela ne signifie toutefois pas que celle-ci doive être simplement déboutée de ses conclusions en paiement d'entretien, comme l'a retenu le Tribunal. En l'occurrence, il est notamment établi qu'après la séparation, l'intimé a spontanément continué à s'acquitter du loyer du domicile conjugal, d'abord en mains de la régie, puis en mains de l'appelante, afin précisément de permettre à celle-ci de conserver le niveau de vie dont elle disposait avant la séparation. En l'absence d'autres éléments, il faut admettre que ces versements correspondent à la nécessaire contribution de l'intimé à l'entretien de l'appelante, afin que cette dernière puisse conserver le train de vie qui était le sien durant la vie commune. Ajoutés aux revenus propres de l'appelante (7'608 fr. net par mois), ces versements de 3'280 fr. par mois permettent par ailleurs à celle-ci de disposer d'un montant total de 10'880 fr. par mois, suffisant pour couvrir le total des charges qu'elle allègue devoir aujourd'hui assumer (10'700 fr.). Ces charges comprennent notamment des coûts d'entretien et d'écolage de l'enfant majeur C______, auxquels l'intimé peut être tenu de participer à titre subsidiaire, conformément aux principes rappelés sous consid. 3.1.2 ci-dessus. La disposition par l'appelante d'un montant total de 10'880 fr., correspondant environ à la moitié des revenus du couple, paraît au demeurant équitable, vu la situation des parties. Il reste à examiner le dies a quo de l'obligation de l'intimé. 3.2.3 L'appelante conclut à ce que l'intimé soit condamné à contribuer à son entretien avec effet au 1er août 2016, correspondant au mois suivant la séparation des parties et à la date précédant d'une année le dépôt de la requête. Lorsque l'intimé a spontanément contribué à l'entretien de l'appelante en s'acquittant du montant de son loyer après la séparation, celle-ci lui a cependant indiqué, dès fin juillet 2016, qu'elle n'avait pas besoin de son soutien et qu'elle considérait ses versements comme le paiement de sa part de l'appartement des parties en</w:t>
      </w:r>
    </w:p>
    <w:p>
      <w:r>
        <w:t>- 10/13 -</w:t>
      </w:r>
    </w:p>
    <w:p>
      <w:r>
        <w:t>C/18149/2017 L______. Les parties ont ensuite formalisé un accord sous seing privé en ce sens. Ce faisant, il faut admettre que l'appelante a, temporairement mais valablement, renoncé aux contributions d'entretien de l'intimé, préférant que celui-ci règle une dette relative à la liquidation des rapports matrimoniaux des époux, sur laquelle il n'y a pas lieu de se prononcer à ce stade. Ce n'est qu'avec le dépôt de sa requête de mesures protectrices que l'appelante a signifié à l'intimé qu'elle n'entendait plus renoncer aux prestations d'entretien qui lui étaient dues, indépendamment des montants versés au titre de la liquidation du régime matrimonial. Une telle décision pouvait parfaitement être prise par l'appelante pour l'avenir, celle-ci n'ayant manifestement pas eu l'intention de renoncer définitivement à toute contribution future. Interprétée selon le principe de la confiance, sa renonciation valait en revanche remise de dette pour toute contribution due jusqu'à nouvel avis, remise sur laquelle il ne lui est aujourd'hui plus possible de revenir sans l'accord de l'intimé (cf. art. 115 CO; arrêt du Tribunal fédéral 5A_884/2014 du 30 janvier 2015 consid. 5.3 et les références citées). Par conséquent, le dies a quo de l'obligation sera en l'espèce fixé au jour du dépôt de la requête, soit au 9 août 2017. L'intimé devait, quant à lui, de bonne foi s'attendre à devoir contribuer à l'entretien de l'appelante dès cette date, en sus des montants versés au titre de la liquidation du régime matrimonial. Le jugement entrepris sera ainsi réformé en ce sens que l'intimé sera condamné à contribuer à l'entretien de l'appelante à hauteur de 3'280 fr. par mois dès le 9 août 2017. Les montants versés en relation avec l'appartement L______ ne seront pas imputés des montants dus.</w:t>
      </w:r>
    </w:p>
    <w:p>
      <w:r>
        <w:rPr>
          <w:b/>
        </w:rPr>
        <w:t>E. 4.1</w:t>
      </w:r>
    </w:p>
    <w:p>
      <w:r>
        <w:t>La décision du Tribunal de mettre à la charge de chacune des parties la moitié des frais de première instance n'est pas contestée. Elle peut en l'espèce être confirmée, nonobstant l'annulation partielle de la décision entreprise (cf. art. 318 al. 3 CPC).</w:t>
      </w:r>
    </w:p>
    <w:p>
      <w:r>
        <w:rPr>
          <w:b/>
        </w:rPr>
        <w:t>E. 4.2</w:t>
      </w:r>
    </w:p>
    <w:p>
      <w:r>
        <w:t>Les frais judiciaires d'appel, arrêtés à 1'250 fr. (art. 31 et 35 du règlement fixant le tarif des frais en matière civile, RTFMC – RS GE E 1 05.10), seront également mis à la charge des parties pour moitié chacune (art. 106 al. 1, art. 107 al. 1 let. c CPC). Ils seront compensés avec l'avance de frais de même montant versée par l'appelante, laquelle demeure acquise à l'Etat (art. 111 al. 1 CPC). L'intimé sera condamné à payer à l'appelante la somme de 625 fr. à titre de remboursement d'avance de frais (art. 111 al. 2 CPC). Compte tenu de la nature familiale du litige, chaque partie supportera ses propres dépens d'appel (art. 107 al. 1 let. c CPC).</w:t>
      </w:r>
    </w:p>
    <w:p>
      <w:r>
        <w:t>- 11/13 -</w:t>
      </w:r>
    </w:p>
    <w:p>
      <w:r>
        <w:t>C/18149/2017</w:t>
      </w:r>
    </w:p>
    <w:p>
      <w:r>
        <w:rPr>
          <w:b/>
        </w:rPr>
        <w:t>E. 5</w:t>
      </w:r>
    </w:p>
    <w:p>
      <w:r>
        <w:t>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- 12/13 -</w:t>
      </w:r>
    </w:p>
    <w:p>
      <w:r>
        <w:t>C/18149/2017 PAR CES MOTIFS, La Chambre civile : A la forme : Déclare recevable l'appel interjeté le 24 janvier 2018 par A______ contre le chiffre 2 du dispositif du jugement JTPI/314/2018 rendu le 12 janvier 2018 par le Tribunal de première instance dans la cause C/18149/2017. Au fond : Annule le chiffre 2 du dispositif de ce jugement et, statuant à nouveau sur ce point : Condamne B______ à payer à A______, à titre de contribution à son entretien, par mois et d'avance, la somme de 3'280 fr. dès le 9 août 2017. Confirme le jugement entrepris pour le surplus. Déboute les parties de toutes autres conclusions. Sur les frais : Arrête les frais judiciaires à 1'250 fr., les met à la charge des parties pour moitié chacune et les compense avec l'avance de frais de même montant fournie par A______, qui demeure acquise à l'Etat de Genève. Condamne B______ à rembourser à A______ la somme de 625 fr.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- 13/13 -</w:t>
      </w:r>
    </w:p>
    <w:p>
      <w:r>
        <w:t>C/18149/2017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