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ACJC/530/2015 vom 13. Mai 2015</w:t>
      </w:r>
    </w:p>
    <w:p>
      <w:r>
        <w:t>GE Cour de justice, 2015-05-13, FR</w:t>
      </w:r>
    </w:p>
    <w:p>
      <w:r>
        <w:rPr>
          <w:b/>
        </w:rPr>
        <w:t xml:space="preserve">Quelle: </w:t>
      </w:r>
      <w:r>
        <w:t>https://mcp.opencaselaw.ch/entscheid/ge_gerichte_ACJC_530_2015</w:t>
      </w:r>
    </w:p>
    <w:p>
      <w:r>
        <w:t>FR: GE_GERICHTE ACJC/530/2015 du 13 mai 2015</w:t>
      </w:r>
    </w:p>
    <w:p>
      <w:r>
        <w:t>IT: GE_GERICHTE ACJC/530/2015 del 13 maggio 2015</w:t>
      </w:r>
    </w:p>
    <w:p>
      <w:pPr>
        <w:pStyle w:val="Heading2"/>
      </w:pPr>
      <w:r>
        <w:t>Erwägungen</w:t>
      </w:r>
    </w:p>
    <w:p>
      <w:r>
        <w:rPr>
          <w:b/>
        </w:rPr>
        <w:t>E. 1</w:t>
      </w:r>
    </w:p>
    <w:p>
      <w:r>
        <w:t>L'appel est recevable contre les décisions finales (art. 308 al. 1 let. a CPC) dans les affaires patrimoniales dont la valeur litigieuse, au dernier état des conclusions de première instance, est de 10'000 fr. au moins (art. 308 al. 2 CPC). Tel est le cas en l'espèce, compte tenu des montants en jeu dans la liquidation du régime matrimonial et de la contribution d'entretien. L'appel a été formé dans le délai et selon la forme prescrits par la loi (art. 130, 131, 142 al. 1 et 3, 308 al. 1 let. a et 311 al. 1 CPC). Il est ainsi recevable.</w:t>
      </w:r>
    </w:p>
    <w:p>
      <w:r>
        <w:rPr>
          <w:b/>
        </w:rPr>
        <w:t>E. 2</w:t>
      </w:r>
    </w:p>
    <w:p>
      <w:r>
        <w:t>La compétence des juridictions genevoises pour connaître du litige, en application du droit suisse, n'est à juste titre pas remise en cause, malgré la nationalité portugaise commune des parties (art. 59, 63 al. 1, 51 let. b LDIP et art. 4 de la Convention de La Haye du 2 octobre 1973 sur la loi applicable aux obligations alimentaires [RS 0.211.213.01]).</w:t>
      </w:r>
    </w:p>
    <w:p>
      <w:r>
        <w:rPr>
          <w:b/>
        </w:rPr>
        <w:t>E. 3</w:t>
      </w:r>
    </w:p>
    <w:p>
      <w:r>
        <w:t>En application du principe de la force de chose jugée partielle instituée par l'art. 315 al. 1 CPC, la Cour ne peut revoir que les dispositions du jugement entrepris qui sont remises en cause en appel. Dès lors, les ch. 1, 2, 4, 5, 7, 8 et 11 du dispositif du jugement querellé JTPI/10333/2014 sont entrés en force de chose jugée ; en revanche, les ch. 9 et 10, relatifs aux frais de première instance, pourront encore être revus d'office en cas d'annulation de tout ou partie du jugement entrepris dans le cadre du présent appel (art. 318, al. 3 CPC). "</w:t>
      </w:r>
    </w:p>
    <w:p>
      <w:r>
        <w:t>- 6/11 -</w:t>
      </w:r>
    </w:p>
    <w:p>
      <w:r>
        <w:t>C/13134/2010</w:t>
      </w:r>
    </w:p>
    <w:p>
      <w:r>
        <w:rPr>
          <w:b/>
        </w:rPr>
        <w:t>E. 4</w:t>
      </w:r>
    </w:p>
    <w:p>
      <w:r>
        <w:t>Le Tribunal a inclus la valeur vénale de la FIDUCIAIRE A.______ SA dans les acquêts de l'appelant, ce qu'il conteste en affirmant n'être ni l'actionnaire ni l'ayant droit économique de celle-là. Il soutient que son fils est actionnaire de cette société depuis le 8 septembre 2008, antérieurement selon lui à la séparation des parties, statut dont il soutient que son fils et les témoignages l'ont confirmé. Il ajoute que la raison sociale de la fiduciaire correspond à l'abréviation du prénom de son fils (Helder), suivi du patronyme de celui-ci.</w:t>
      </w:r>
    </w:p>
    <w:p>
      <w:r>
        <w:t>4.1.1 Selon l'art. 197 al. 1 CC, sont des acquêts les biens acquis par un époux à titre onéreux pendant le régime.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ATF 121 III 319 consid. 5a/aa p. 321; arrêt du Tribunal fédéral 5A_696/2011 du 28 juin 2012 consid. 4.1.2 et 4A_384/2008 du</w:t>
      </w:r>
    </w:p>
    <w:p>
      <w:r>
        <w:rPr>
          <w:b/>
        </w:rPr>
        <w:t>E. 4.2</w:t>
      </w:r>
    </w:p>
    <w:p>
      <w:r>
        <w:t>En tout état de cause, même à suivre l'argumentation de l'appelant, on parvient au même résultat en application de l'art. 208 CC :</w:t>
      </w:r>
    </w:p>
    <w:p>
      <w:r>
        <w:rPr>
          <w:b/>
        </w:rPr>
        <w:t>E. 4.2.1</w:t>
      </w:r>
    </w:p>
    <w:p>
      <w:r>
        <w:t>Selon cette disposition,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w:t>
      </w:r>
    </w:p>
    <w:p>
      <w:r>
        <w:t>- 7/11 -</w:t>
      </w:r>
    </w:p>
    <w:p>
      <w:r>
        <w:t>C/13134/2010 d'acquêts qu'un époux a faites pendant le régime dans l'intention de compromettre la participation de son conjoint (ch. 2). L'art. 208 CC a pour but d'empêcher qu'un époux ne rende illusoire l'expectative de son conjoint, en distrayant des acquêts des biens qui auraient contribué à former un bénéfice (arrêt du Tribunal fédéral 5C.111/2002 du 26 août 2002 consid. 2.1.1).</w:t>
      </w:r>
    </w:p>
    <w:p>
      <w:r>
        <w:rPr>
          <w:b/>
        </w:rPr>
        <w:t>E. 4.2.2</w:t>
      </w:r>
    </w:p>
    <w:p>
      <w:r>
        <w:t>En l'espèce, le transfert allégué des actifs et des passifs de l'entreprise de l'appelant à son fils, en particulier de sa clientèle, cela sans contre-prestation financière, représenterait une libéralité qui devrait être réunie aux acquêts, en application de l'art. 208 ch. 1 CC, celle-ci étant intervenue le 8 septembre 2008 selon l'appelant, soit moins de cinq ans avant la dissolution du régime intervenue le 10 juin 2010. C'est par conséquent avec raison la valeur de la société fiduciaire a été intégrée dans les acquêts de l'appelant. 5. Le Tribunal a considéré que le mariage avait eu une influence concrète sur la situation financière de l'intimée en raison de sa durée et de la naissance d'un enfant commun. Au vu du déficit mensuel de l'épouse de 1'028 fr., il a fixé à 1'100 fr. par mois la contribution d'entretien due à celle-ci, compte tenu du disponible mensuel de l'appelant (2'208 fr. 05) et de la contribution d'entretien allouée à Jonathan (900 fr.).</w:t>
      </w:r>
    </w:p>
    <w:p>
      <w:r>
        <w:t>5.1 L'appelant soutient que son salaire mensuel net est de 5'454 fr. 30 et s'oppose à la prise en considération d'une part du bénéfice net de la société fiduciaire. Il fixe à 1'200 fr. sa base mensuelle d'entretien au motif que la colocation avec son cousin n'est pas assimilable à une situation de concubinage. Il affirme devoir conserver son disponible pour assumer des frais médicaux supplémentaires – non justifiés par pièces - en raison d'un diabète. Enfin, un revenu hypothétique de 3'166 fr. 80 aurait dû être imputé à l'intimée, lequel correspond à la garde journalière de quatre enfants. Subsidiairement, il soutient que la contribution d'entretien critiquée aurait dû être limitée dans sa durée, au maximum jusqu'à l'âge de sa propre retraite.</w:t>
      </w:r>
    </w:p>
    <w:p>
      <w:r>
        <w:t>L'intimée abonde dans le sens du premier juge.</w:t>
      </w:r>
    </w:p>
    <w:p>
      <w:r>
        <w:t>5.2.1 Une contribution d'entretien est due sur la base de l'art. 125 CC si le mariage a concrètement influencé la situation financière de l'époux créancier («lebensprägend»). Si le mariage a duré au moins dix ans - période à calculer jusqu'à la date de la séparation des parties (ATF 137 III 102 consid. 4.1.2, 132 III 598 consid. 9.2) - il a eu, en règle générale, une influence concrète. La jurisprudence retient également que, indépendamment de sa durée, un mariage influence concrètement la situation des conjoints lorsque ceux-ci ont des enfants</w:t>
      </w:r>
    </w:p>
    <w:p>
      <w:r>
        <w:t>- 8/11 -</w:t>
      </w:r>
    </w:p>
    <w:p>
      <w:r>
        <w:t>C/13134/2010 communs (ATF 137 III 102 consid. 4.1.2, 135 III 59 consid. 4.1; arrêt du Tribunal fédéral 5A_781/2014 du 13 février 2015 consid. 3.3).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Si tel est le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 arrêt du Tribunal fédéral 5A_777/2014 du 4 mars 2015 consid. 5.1.3).</w:t>
      </w:r>
    </w:p>
    <w:p>
      <w:r>
        <w:t>Lorsqu'il existe une unité économique entre une société anonyme et un actionnaire unique ou principal, il peut se justifier, dans les procès du droit de famille, de déterminer la capacité contributive du débirentier qui maîtrise économiquement la société en application des règles relatives aux indépendants (arrêt du Tribunal fédéral 5A_392/2014 du 20 août 2014 consid. 2.2 et les références citées). En effet,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(arrêt du Tribunal fédéral 5A_392/2014 du 20 août 2014 consid. 2.2 et les références citées).</w:t>
      </w:r>
    </w:p>
    <w:p>
      <w:r>
        <w:t>La majoration forfaitaire de 20% de la base mensuel d'entretien ne se justifie en principe plus en droit actuel (arrêts du Tribunal fédéral 5A_229/2013 du 29 septembre 2013 consid. 5.2 et 5A_673/2011 du 11 avril 2012 consid. 2.3.1).</w:t>
      </w:r>
    </w:p>
    <w:p>
      <w:r>
        <w:t>5.2.2 En l'espèce, l'appelant ne remet pas en cause l'influence concrète du mariage sur la situation financière de l'intimée ni le déficit mensuel de cette dernière. Contrairement à ce qu'il soutient, il ne peut être exigé d'elle l'accueil supérieur à deux enfants en même temps par jour, au vu de la limitation explicite de leur nombre résultant de l'autorisation délivrée en 2012 par l'autorité compétente. Le revenu mensuel net de l'appelant était de 7'300 fr. lorsqu'il exerçait à titre d'indépendant. C'est dès lors avec raison que le Tribunal ne s'est pas limité à retenir son salaire mensuel net moyen réduit à 5'644 fr. 20 en qualité d'employé de la société fiduciaire, mais qu'il a ajouté à celui-ci la part du bénéfice de la société fiduciaire qu'il contrôle économiquement, en application de la jurisprudence sus-</w:t>
      </w:r>
    </w:p>
    <w:p>
      <w:r>
        <w:t>- 9/11 -</w:t>
      </w:r>
    </w:p>
    <w:p>
      <w:r>
        <w:t>C/13134/2010 évoquée, pour aboutir à un revenu total de 5'984 fr. par mois, montant qui se situe au demeurant encore en-deçà de la rémunération usuelle pour un expert- comptable expérimenté, d'au moins 7'000 fr. brut, respectivement 6'000 fr. net, selon l'expert judiciaire. La base mensuelle d'entretien de l'appelant doit être portée à 1'200 fr., comme l'a déjà décidé la Cour de justice, statuant entre les parties sur mesures provisoires, toutefois sans la majoration de 20% admise par le premier juge, cette majoration n'étant plus conforme à la jurisprudence du Tribunal fédéral rappelée ci-dessus sous ch. 4.2.1. Ses charges mensuelles arrondies à 3'956 fr. lui laissent ainsi encore un disponible mensuel de 2'028 fr., suffisant pour assumer ses obligations d'entretien envers son ex-épouse et son fils (2'000 fr. au total). Le principe d'une contribution mensuelle d'entretien telle que fixée par le premier juge de 1'100 fr. est dès lors confirmé. Il convient d'en examiner sa durée. 5.3 L'âge ouvrant le droit à une rente de vieillesse du premier pilier, soit 65 ans pour les hommes, correspond, en règle générale, pour les salariés et les indépendants à la limite temporelle de l'activité professionnelle. Toutefois, dans des circonstances particulières, ainsi selon la profession exercée, l'état de santé général et la situation financière du lésé, il n'est pas exclu qu'une durée d'activité plus longue puisse être admise pour un travailleur de condition indépendante (ATF 136 III 301 consid. 4.2.2; arrêt du Tribunal fédéral 4A_665/2011 du 2 février 2012 consid. 3.2 publié in SJ 2012 I 423). En l'espèce, les parties n'ont ni fait état de leurs expectatives de prévoyance respectives ni produit aucune pièce à cet égard. Cela étant au vu de l'âge de l'appelant (54 ans) et de sa capacité de travail à plein temps comme expert- comptable, laquelle est en outre assimilable à une activité exercée à titre d'indépendant non soumis à la limite de l'âge de la retraite, l'appelant étant l'ayant droit de la société fiduciaire au sein de laquelle il travaille, c'est à bon droit que le Tribunal l'a astreint à verser une contribution d'entretien de durée indéterminée à son ex-épouse. Il est encore précisé que si l'appelant devait cesser son activité professionnelle après l'âge de la retraite, il pourra être susceptible de solliciter une modification du montant de cette contribution d'entretien, sous réserve des circonstances prévalant à ce moment-là. Le ch. 3 du dispositif du jugement entrepris sera dès lors confirmé. 6. Les frais sont mis à la charge de la partie succombante (art. 95 et 106 al. 1 1ère phrase CPC). Lorsqu'aucune des parties n'obtient entièrement gain de cause, les frais sont répartis selon le sort de la cause (art. 106 al. 2 CPC). Le Tribunal</w:t>
      </w:r>
    </w:p>
    <w:p>
      <w:r>
        <w:t>- 10/11 -</w:t>
      </w:r>
    </w:p>
    <w:p>
      <w:r>
        <w:t>C/13134/2010 peut s'écarter des règles générales et répartir les frais selon sa libre appréciation, notamment lorsque le litige relève du droit de la famille (art. 107 al. 1 let. c CPC). En outre, si l'instance d'appel statue à nouveau, elle se prononce sur les frais de la première instance (art. 318 al. 3 CPC). 6.1 En l'espèce, les frais judiciaires de première instance ont été mis à la charge de l'appelant, ce qu'il n'a pas remis en cause, de sorte qu'il n'y a pas lieu d'y revenir. La nature du litige commandait en outre de ne pas allouer de dépens (art. 176 al. 3 aLPC et art. 404 al. 1 CPC). 6.2 Les frais judiciaires de l'appel sont fixés à 4'000 fr. et compensés avec l'avance de frais fournie par l'appelant, qui reste acquise à l'Etat (art. 96 CPC et 31 et 35 du Règlement fixant le tarif des frais en matière civile [RTFMC - E 1 05.10], art. 111 al. 1 CPC). Ils seront mis à la charge de l'appelant, qui supporte les frais de son appel.</w:t>
      </w:r>
    </w:p>
    <w:p>
      <w:r>
        <w:t>S'agissant d'un litige qui relève du droit de la famille, chaque partie supportera ses propres dépens (art. 107 al. 1 let. c CPC). * * * * *</w:t>
      </w:r>
    </w:p>
    <w:p>
      <w:r>
        <w:t>- 11/11 -</w:t>
      </w:r>
    </w:p>
    <w:p>
      <w:r>
        <w:t>C/13134/2010 PAR CES MOTIFS, La Chambre civile : A la forme : Déclare recevable l'appel interjeté par A.______ contre les chiffres 3 et 6 du dispositif du jugement JTPI/10333/2014 rendu le 25 août 2014 par le Tribunal de première instance dans la cause C/13134/2010-6. Au fond : Confirme ce jugement. Déboute les parties de toutes autres conclusions.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décembre 2008 consid. 4.1). 4.1.2 En l'espèce, c'est avec raison que le Tribunal a inclus la valeur vénale de la fiduciaire dans les acquêts de l'appelant, puisqu'il est resté l'ayant droit économique de celle-ci, ainsi que la Cour l'a retenu dans l'ACJC/1380/2012, confirmé par arrêt du Tribunal fédéral du 18 février 2013 (cf. ci-dessus E.a.), conclusion qu'aucun élément nouveau n'est venu contredire dans la présente procédure au fond. En particulier, la présence du fils de l'appelant dans les locaux de la fiduciaire et la remise de mandats ponctuels par ce dernier à un tiers ne sont pas suffisants pour remettre en cause sa qualité d'intermédiaire agissant pour le compte de son père.</w:t>
      </w:r>
    </w:p>
    <w:p>
      <w:r>
        <w:t>L'appel n'est pas fondé sur ce point, de sorte que le ch. 6 du dispositif du jugement entrepris sera ainsi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