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ACJC/52/2026 vom 15. Januar 2026</w:t>
      </w:r>
    </w:p>
    <w:p>
      <w:r>
        <w:t>GE Cour de justice, 2026-01-15, FR</w:t>
      </w:r>
    </w:p>
    <w:p>
      <w:r>
        <w:rPr>
          <w:b/>
        </w:rPr>
        <w:t xml:space="preserve">Quelle: </w:t>
      </w:r>
      <w:r>
        <w:t>https://mcp.opencaselaw.ch/entscheid/ge_gerichte_ACJC_52_2026</w:t>
      </w:r>
    </w:p>
    <w:p>
      <w:r>
        <w:t>FR: GE_GERICHTE ACJC/52/2026 du 15 janvier 2026</w:t>
      </w:r>
    </w:p>
    <w:p>
      <w:r>
        <w:t>IT: GE_GERICHTE ACJC/52/2026 del 15 gennaio 2026</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w:t>
      </w:r>
    </w:p>
    <w:p>
      <w:r>
        <w:rPr>
          <w:b/>
        </w:rPr>
        <w:t>E. 2.1</w:t>
      </w:r>
    </w:p>
    <w:p>
      <w:r>
        <w:t>Le jugement querellé est une décision incidente de première instance (art. 308 al. 1 let. a CPC), rendue dans une affaire patrimoniale dont la valeur litigieuse au dernier état des conclusions était supérieure à 10'000 fr. (art. 308 al. 2 CPC), de sorte que la voie de l'appel est ouverte.</w:t>
      </w:r>
    </w:p>
    <w:p>
      <w:r>
        <w:rPr>
          <w:b/>
        </w:rPr>
        <w:t>E. 2.2</w:t>
      </w:r>
    </w:p>
    <w:p>
      <w:r>
        <w:t>Déposé dans le délai utile de trente jours et selon la forme prescrite par la loi (art. 130 al. 1, 131 et 311 al. 1 CPC), l'appel est recevable.</w:t>
      </w:r>
    </w:p>
    <w:p>
      <w:r>
        <w:t>Il en va de même de la réponse à l'appel (art. 312 al. 2 CPC), ainsi que des écritures subséquentes des parties (art. 316 al. 2 CPC), y compris la détermination spontanée des intimées du 13 septembre 2024, celles-ci ayant dûment fait usage de leur droit inconditionnel de répliquer dans les dix jours suivant la notification des déterminations de l'appelant du 30 août 2024 (arrêts du Tribunal fédéral 5A_120/2019 du 21 août 2019 consid. 2.2 et 5A_174/2016 du 25 mai 2016 consid. 3.2).</w:t>
      </w:r>
    </w:p>
    <w:p>
      <w:r>
        <w:rPr>
          <w:b/>
        </w:rPr>
        <w:t>E. 2.3</w:t>
      </w:r>
    </w:p>
    <w:p>
      <w:r>
        <w:t>Les maximes des débats et de disposition s'appliquent (art. 55 al. 1 et 58 al. 1 CPC).</w:t>
      </w:r>
    </w:p>
    <w:p>
      <w:r>
        <w:rPr>
          <w:b/>
        </w:rPr>
        <w:t>E. 2.4</w:t>
      </w:r>
    </w:p>
    <w:p>
      <w:r>
        <w:t>La Cour revoit la cause en fait et en droit avec un plein pouvoir d'examen (art. 310 CPC), mais uniquement dans la limite des griefs motivés qui sont formulés (ATF 142 III 413 consid. 2.2.4).</w:t>
      </w:r>
    </w:p>
    <w:p>
      <w:r>
        <w:t>- 13/19 -</w:t>
      </w:r>
    </w:p>
    <w:p>
      <w:r>
        <w:t>C/14889/2020</w:t>
      </w:r>
    </w:p>
    <w:p>
      <w:r>
        <w:rPr>
          <w:b/>
        </w:rPr>
        <w:t>E. 3</w:t>
      </w:r>
    </w:p>
    <w:p>
      <w:r>
        <w:t>L'appelant reproche au Tribunal d'avoir procédé à une constatation incomplète des faits. L'état de fait présenté ci-dessus a donc été complété dans la mesure utile pour la résolution du litige, sur la base des actes et des pièces de la procédure.</w:t>
      </w:r>
    </w:p>
    <w:p>
      <w:r>
        <w:t>Les griefs de l'appelant relatifs à la constatation inexacte des faits seront examinés ci-après.</w:t>
      </w:r>
    </w:p>
    <w:p>
      <w:r>
        <w:rPr>
          <w:b/>
        </w:rPr>
        <w:t>E. 4</w:t>
      </w:r>
    </w:p>
    <w:p>
      <w:r>
        <w:t>Les parties ont produit des pièces nouvelles devant la Cour.</w:t>
      </w:r>
    </w:p>
    <w:p>
      <w:r>
        <w:rPr>
          <w:b/>
        </w:rPr>
        <w:t>E. 4.1</w:t>
      </w:r>
    </w:p>
    <w:p>
      <w:r>
        <w:t>Aux termes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déjà (ATF 143 III 42 consid. 4.1; arrêt du Tribunal fédéral 5A_1006/2017 du 5 février 2018 consid. 3.3).</w:t>
      </w:r>
    </w:p>
    <w:p>
      <w:r>
        <w:rPr>
          <w:b/>
        </w:rPr>
        <w:t>E. 4.2</w:t>
      </w:r>
    </w:p>
    <w:p>
      <w:r>
        <w:t>En l'occurrence, les pièces nouvelles produites par les parties sont antérieures à la procédure de première instance et auraient dû être produites devant le premier juge en faisant preuve de la diligence requise, étant relevé que les explications des parties à cet égard ne sont pas convaincantes.</w:t>
      </w:r>
    </w:p>
    <w:p>
      <w:r>
        <w:t>Ces pièces ne sont donc pas recevables, de même que les faits s'y rapportant.</w:t>
      </w:r>
    </w:p>
    <w:p>
      <w:r>
        <w:rPr>
          <w:b/>
        </w:rPr>
        <w:t>E. 5</w:t>
      </w:r>
    </w:p>
    <w:p>
      <w:r>
        <w:t>Invoquant une appréciation arbitraire des faits, l'appelant fait grief au Tribunal d'avoir retenu la légitimation active des intimées et ce, en violation des règles sur la société simple et d'interprétation.</w:t>
      </w:r>
    </w:p>
    <w:p>
      <w:r>
        <w:t>5.1.1 La qualité pour agir (légitimation active) et la qualité pour défendre (légitimation passive) sont des questions de droit matériel, de sorte qu'elles ressortissent au droit privé fédéral s'agissant des actions soumises à ce droit (ATF 133 III 180 consid. 3.4, in JdT 2010 I 239; 130 III 417 consid. 3.1; arrêts du Tribunal fédéral 4A_127/2022 du 28 juin 2022 consid. 3.3 et 4A_1/2014 du 26 mars 2014 consid. 2.3). Elles se déterminent selon le droit au fond et leur défaut conduit au rejet de l'action qui intervient indépendamment de la réalisation des éléments objectifs de la prétention litigieuse (ATF 138 III 537 consid. 2.2.1; arrêt du Tribunal fédéral 5A_212/2020 du 26 janvier 2022 consid. 4).</w:t>
      </w:r>
    </w:p>
    <w:p>
      <w:r>
        <w:t>La légitimation active doit être examinée d'office par le juge (ATF 126 III 59 consid. 1a). Lorsque la maxime des débats s'applique (art. 55 CPC), cet examen</w:t>
      </w:r>
    </w:p>
    <w:p>
      <w:r>
        <w:t>- 14/19 -</w:t>
      </w:r>
    </w:p>
    <w:p>
      <w:r>
        <w:t>C/14889/2020 ne peut se faire que sur la base des faits allégués et prouvés (ATF 130 III 550 consid. 2; arrêt du Tribunal fédéral 4A_614/2021 du 21 décembre 2023 consid. 4).</w:t>
      </w:r>
    </w:p>
    <w:p>
      <w:r>
        <w:t>La consorité (matérielle) nécessaire est imposée par le droit matériel, qui détermine les cas dans lesquels plusieurs parties doivent agir ou défendre ensemble. Sous sa forme active, elle est réalisée lorsque plusieurs personnes sont ensemble titulaires du droit en cause, de sorte que chacune ne peut pas l'exercer seule en justice. Sont ainsi consorts nécessaires les membres d'une communauté du droit civil - telle la société simple - qui sont ensemble titulaires d'un même droit. Les consorts nécessaires doivent agir ensemble ou être mis en cause ensemble (cf. art. 70 al. 1 CPC). Lorsque l'action n'est pas introduite par toutes les parties tenues de procéder en commun ou qu'elle n'est pas dirigée contre celles-ci, il y a défaut de légitimation active ou passive et la demande sera rejetée (ATF 140 III 598 consid. 3.2).</w:t>
      </w:r>
    </w:p>
    <w:p>
      <w:r>
        <w:t>5.1.2 Aux termes de l'art. 530 al. 1 CO, la société simple est un contrat par lequel deux ou plusieurs personnes conviennent d'unir leurs efforts ou leurs ressources en vue d'atteindre un but commun. Ce contrat ne requiert, pour sa validité, l'observation d'aucune forme spéciale; il peut donc se créer par actes concluants, voire sans que les parties en aient même conscience (ATF 124 III 363 consid. II/2a; arrêts du Tribunal fédéral 4A_377/2018 du 5 juillet 2019 consid. 4.1 et 5A_881/2018 du 19 juin 2019 consid. 3.1.1.3).</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w:t>
      </w:r>
    </w:p>
    <w:p>
      <w:r>
        <w:t>Lorsque plusieurs actionnaires d'une société vendent simultanément leurs actions au même acheteur, ils peuvent conclure des contrats de vente indépendants ou se regrouper à cette fin dans une société simple. L'existence d'une société simple s'apprécie d'après l'ensemble des circonstances (ATF 116 II 707 consid. 2b, in JdT 1991 I 357).</w:t>
      </w:r>
    </w:p>
    <w:p>
      <w:r>
        <w:t>5.1.3 Pour déterminer si un contrat a été conclu, quels en sont les cocontractants et quel en est le contenu, le juge doit interpréter les manifestations de volonté des parties (ATF 144 III 93 consid. 5.2; arrêt du Tribunal fédéral 4A_180/2022 du 5 juillet 2022 consid. 4.2).</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w:t>
      </w:r>
    </w:p>
    <w:p>
      <w:r>
        <w:t>- 15/19 -</w:t>
      </w:r>
    </w:p>
    <w:p>
      <w:r>
        <w:t>C/14889/2020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(ATF 144 III 93 consid. 5.2.2).</w:t>
      </w:r>
    </w:p>
    <w:p>
      <w:r>
        <w:t>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(ATF 144 III 93 consid. 5.2.3).</w:t>
      </w:r>
    </w:p>
    <w:p>
      <w:r>
        <w:rPr>
          <w:b/>
        </w:rPr>
        <w:t>E. 5.2</w:t>
      </w:r>
    </w:p>
    <w:p>
      <w:r>
        <w:t>En l'espèce, les intimées et G______ ont agi ensemble, dans un but commun, en vendant simultanément à l'appelant, par le biais d'un seul acte de vente, l'intégralité des actions de D______. Ces éléments, en particulier le transfert "en bloc" des actions, tendraient à admettre l'existence d'une société simple entre les intimées et G______.</w:t>
      </w:r>
    </w:p>
    <w:p>
      <w:r>
        <w:t>Le premier juge a toutefois considéré, à juste titre, qu'une consorité nécessaire entre les précitées ne saurait être admise. En effet, l'ensemble des circonstances entourant cette vente permet de retenir que les parties se sont entendues sur un régime de solidarité entre les deux intimées, à l'exclusion de G______ et ce, même si initialement une solidarité avait été envisagée entre les trois précitées.</w:t>
      </w:r>
    </w:p>
    <w:p>
      <w:r>
        <w:t>En effet, la lettre d'intention du 5 décembre 2014 prévoyait expressément que les intimées et G______ agissaient "conjointement et solidairement" dans le cadre de la vente et étaient toutes les trois représentées par I______, administrateur unique de l'intimée B______. Une procuration en faveur de ce dernier devait ainsi être signée par les précitées, ce qui n'a toutefois jamais été fait.</w:t>
      </w:r>
    </w:p>
    <w:p>
      <w:r>
        <w:t>Il est vrai que le protocole d'accord subséquent du 7 mai 2015 n'a pas expressément apporté de modification s'agissant du régime de solidarité ou de représentation susvisés. Cela étant, cet accord a été signé par les représentants de chacune des intimées et de G______ et non uniquement par I______, ce qui tend à confirmer que l'intention de signer une procuration en faveur de ce dernier afin de représenter les précitées dans le cadre de la vente avait été abandonnée.</w:t>
      </w:r>
    </w:p>
    <w:p>
      <w:r>
        <w:t>Sur ce point, contrairement à ce que soutient l'appelant, le courriel de I______ du 13 avril 2016 ne démontre pas que celui-ci aurait représenté les intimées et G______ et mené les négociations pour le compte de ces trois entités. Au contraire, ce courriel faisait suite à la requête de l'ancien conseil de l'appelant qui</w:t>
      </w:r>
    </w:p>
    <w:p>
      <w:r>
        <w:t>- 16/19 -</w:t>
      </w:r>
    </w:p>
    <w:p>
      <w:r>
        <w:t>C/14889/2020 sollicitait un unique interlocuteur dans le cadre des négociations, qui n'était pas I______. En outre, l'emploi des termes "je", "nous" ou encore la "société" par ce dernier ne permet pas de retenir qu'il agissait pour les trois précitées, comme soutenu par l'appelant, et non uniquement pour l'intimée B______, dont il était l'unique administrateur. Il a d'ailleurs précisé devoir s'entretenir avec le représentant de l'intimée C______ avant de se prononcer sur d'autres éléments de la négociation.</w:t>
      </w:r>
    </w:p>
    <w:p>
      <w:r>
        <w:t>Il n'est donc pas établi que les négociations auraient été menées par I______ pour le compte des trois venderesses. L'appelant ne peut donc pas se prévaloir d'avoir eu "l'impression de traiter" avec celles-ci par le biais d'un représentant unique, pour accréditer sa thèse selon laquelle les précitées auraient agi de manière conjointe et solidaire.</w:t>
      </w:r>
    </w:p>
    <w:p>
      <w:r>
        <w:t>En tout état, la première page du contrat de vente du 11 mai 2016 mentionne expressément et de manière univoque l'existence d'un régime de solidarité entre les intimées uniquement, à l'exclusion de G______. Cette exclusion de solidarité est d'ailleurs expressément rappelée à l'art. 6.1 de ce contrat. Il sera également relevé que celui-ci a été signé par chacun des représentants des précitées.</w:t>
      </w:r>
    </w:p>
    <w:p>
      <w:r>
        <w:t>Le premier juge était ainsi fondé à retenir qu'au cours des négociations, soit entre la signature de la lettre d'intention du 5 décembre 2014 et le contrat de vente du 11 mai 2016, un changement de régime a été convenu s'agissant de G______, qui n'agissait plus conjointement et solidairement avec les intimées, ce que l'appelant ne pouvait pas ignorer, compte tenu de ce qui précède. L'art. 9.6 du contrat de vente précise d'ailleurs que les termes et conditions de celui-ci remplaçaient tous accords et engagements antérieurs. Le fait que le contrat de vente rappelle en préambule l'existence de la lettre d'intention n'est dès lors pas déterminant.</w:t>
      </w:r>
    </w:p>
    <w:p>
      <w:r>
        <w:t>A cela s'ajoute que la différence de régime entre les intimées, d'une part, et G______, d'autre part, résulte des modalités de vente convenues avec l'appelant. En effet, l'art. 4.1.3 du contrat de vente prévoit une exclusion de responsabilité de la précitée "de quelque nature que ce soit" en relation avec l'exécution dudit contrat dès le versement en ses mains du prix de vente de ses actions, soit 400'000 fr. Contrairement à ce que soutient l'appelant, le fait que G______ n'ait pas reçu la totalité de ce montant, mais seulement 325'000 fr., n'est pas déterminant pour interpréter la volonté des parties s'agissant du régime de solidarité entre les venderesses. Or, cette clause n'est pas sujette à interprétation et confirme que les parties avaient la réelle et commune intention de créer un régime de responsabilité différent pour G______.</w:t>
      </w:r>
    </w:p>
    <w:p>
      <w:r>
        <w:t>Le premier juge a également relevé que le montant du prix de vente dévolu à G______, soit 400'000 fr. prélevés sur l'acompte de 1'400'000 fr. dû par l'appelant (art. 3.1 et 4.1.1), était clairement arrêté contrairement aux montants dus à ce titre</w:t>
      </w:r>
    </w:p>
    <w:p>
      <w:r>
        <w:t>- 17/19 -</w:t>
      </w:r>
    </w:p>
    <w:p>
      <w:r>
        <w:t>C/14889/2020 aux intimées, ce qui n'est pas critiquable. En effet, contrairement à ce que soutient l'appelant, aucun élément du dossier ne permet de retenir que le montant de cet acompte était variable. Au contraire, selon les termes clairs du contrat de vente, celui-ci était fixé à 1'400'000 fr., dont une partie devait être versée à la signature dudit contrat et l'autre partie trois jours après, et aucune déduction sur ce montant n'a été convenue entre les parties. La somme due à G______ pour la vente de ses actions était donc déterminée dès la signature du contrat de vente.</w:t>
      </w:r>
    </w:p>
    <w:p>
      <w:r>
        <w:t>En revanche, le montant final dû à chacune des intimées pour la vente de leurs actions ne l'était pas. En effet, celui-ci était composé d'une partie fixe de l'acompte (art. 4.1.1) et d'un solde non déterminé à la conclusion du contrat de vente (mais d'un total maximum de 575'000 fr.), ce solde dépendant du surendettement au 31 décembre 2015 de D______, de ses pertes pour la période du 1er janvier au 30 avril 2016 et de l'éventuel surendettement supplémentaire pour cette même période (art. 2.2 et 4.2.1).</w:t>
      </w:r>
    </w:p>
    <w:p>
      <w:r>
        <w:t>G______ n'avait pas de prétention sur ce solde du prix de vente (art. 4.2.1), raison pour laquelle elle n'a pas été mise au bénéfice d'une reconnaissance de dette signée par l'appelant, contrairement aux intimées (art. 3.2 du contrat). Le premier juge était donc fondé à retenir que G______ ne répondait pas des éventuels surendettement et pertes subies par D______ à l'inverse des intimées.</w:t>
      </w:r>
    </w:p>
    <w:p>
      <w:r>
        <w:t>L'appelant se prévaut toutefois du fait qu'il existerait une "interconnexion" entre les différents montants revenant aux intimées et à G______, en ce sens que le prix de vente total des actions avait été déterminé en fonction des mêmes paramètres pour les précitées, soit le prix de base des actions en 1'975'000 fr., dont à déduire les éventuels surendettements et pertes. Cela étant, comme relevé supra, les parties ont convenu que G______ serait uniquement payée au moyen d'une partie de l'acompte, dont le montant était déterminé, invariable et indépendant des éventuels surendettement et pertes subies par D______, seul le solde du prix de vente pouvant être affecté par ces éléments.</w:t>
      </w:r>
    </w:p>
    <w:p>
      <w:r>
        <w:t>La différence de régime entre les intimées et G______ est également attestée par le fait qu'elles n'étaient pas soumises aux mêmes obligations contractuelles, à l'exception de la remise des originaux des certificats d'actions (art. 3.1.1). En effet, les autres obligations visées à cet article ne concernent pas G______, dont il n'est pas contesté qu'elle ne s'occupait pas de la gestion de D______, à l'inverse des intimées, ce qui est d'ailleurs expressément rappelé à l'art. 6.1 du contrat. A titre d'exemple, G______ n'était donc pas en possession des clés de la discothèque "E______", des codes d'accès informatique et internet liés à l'exploitation de celle- ci (art. 3.1.1) ou encore de ses comptes d'exploitation, de ses déclarations fiscales, ainsi que des certificats de salaire des employés (art. 4.1.6), soit des documents détenus par les gestionnaires de D______. Par ailleurs, les obligations contractuelles énoncées à l'art. 4.1.5 concernent uniquement les intimées et le</w:t>
      </w:r>
    </w:p>
    <w:p>
      <w:r>
        <w:t>- 18/19 -</w:t>
      </w:r>
    </w:p>
    <w:p>
      <w:r>
        <w:t>C/14889/2020 versement en leurs mains de leur part sur l'acompte dû par l'appelant. La libération des montants dus pour la vente des actions n'était donc pas soumise aux mêmes conditions pour les intimées, d'une part, et pour G______, d'autre part.</w:t>
      </w:r>
    </w:p>
    <w:p>
      <w:r>
        <w:t>Le seul fait que l'acompte et le solde du prix de vente devait être versé par l'appelant en mains d'un notaire et non de manière individualisée à chacune des venderesses n'est donc pas déterminant, compte tenu des termes clairs du contrat de vente convenus entre les parties et G______, à teneur desquels les intimées et la précitée n'étaient pas soumises au même régime de responsabilité.</w:t>
      </w:r>
    </w:p>
    <w:p>
      <w:r>
        <w:t>L'appelant ne peut pas non plus se prévaloir des considérants du jugement JTPI/11720/2017 du 20 septembre 2017 rendu dans la cause C/3______/2017 pour établir une prétendue solidarité entre les intimées et G______. En effet, ce jugement, qui statue sur l'existence d'un titre de mainlevée provisoire dans le cadre de l'opposition formée par l'appelant à l'encontre du commandement de payer, poursuite n° 2______, notifié par la précitée, a été rendu en procédure sommaire, sur la base de la seule vraisemblance, sans examen approfondi de la question de la solidarité entre les intimées et G______.</w:t>
      </w:r>
    </w:p>
    <w:p>
      <w:r>
        <w:t>Enfin, contrairement à ce que soutient l'appelant, la portée du courriel du 22 juin 2016 de son ancien conseil n'est pas déterminante pour l'examen de la question susvisée. En effet, ce courriel ne modifie, en tout état, pas l'absence de solidarité convenue entre les intimées et G______.</w:t>
      </w:r>
    </w:p>
    <w:p>
      <w:r>
        <w:t>Compte tenu de l'ensemble de ce qui précède, le premier juge était fondé à constater l'absence de consorité nécessaire entre les intimées et G______.</w:t>
      </w:r>
    </w:p>
    <w:p>
      <w:r>
        <w:t>Partant, les intimées disposent de la légitimation active, de sorte que le jugement entrepris sera confirmé.</w:t>
      </w:r>
    </w:p>
    <w:p>
      <w:r>
        <w:rPr>
          <w:b/>
        </w:rPr>
        <w:t>E. 6</w:t>
      </w:r>
    </w:p>
    <w:p>
      <w:r>
        <w:t>Les frais judiciaires d'appel seront mis à la charge de l'appelant, qui succombe (art. 106 al. 1 CPC). Ils seront arrêtés à 2'500 fr. (art. 23 et 36 RTFMC) et partiellement compensés avec l'avance de frais fournie par celui-ci en 1'000 fr., laquelle reste acquise à l'Etat de Genève (art. 111 al. 1 aCPC). L'appelant sera donc condamné à verser 1'500 fr. aux Services financiers du Pouvoir judiciaire à titre de solde des frais judiciaires.</w:t>
      </w:r>
    </w:p>
    <w:p>
      <w:r>
        <w:t>Il sera également condamné à verser des dépens d'appel aux intimées, solidairement entre elles, fixés à 3'000 fr. (art. 84, 85 et 90 RTFMC; art. 23 al. 1 LaCC), débours compris mais hors TVA, vu le domicile à l'étranger de ces dernières (ATF 141 IV 344 consid. 4.1). * * * * *</w:t>
      </w:r>
    </w:p>
    <w:p>
      <w:r>
        <w:t>- 19/19 -</w:t>
      </w:r>
    </w:p>
    <w:p>
      <w:r>
        <w:t>C/14889/2020 PAR CES MOTIFS, La Chambre civile : A la forme : Déclare recevable l'appel interjeté le 8 février 2024 par A______ contre le jugement JTPI/278/2024 rendu le 8 janvier 2024 par le Tribunal de première instance dans la cause C/14889/2020. Au fond : Confirme ce jugement. Déboute les parties de toutes autres conclusions. Sur les frais : Arrête les frais judiciaires d'appel à 2'500 fr., les met à charge de A______ et dit qu'ils sont partiellement compensés avec l'avance fournie par celui-ci, laquelle reste acquise à l'Etat de Genève. Condamne A______ à verser 1'500 fr. aux Services financiers du Pouvoir judiciaire à titre de solde des frais judiciaires d'appel. Condamne A______ à verser 3'000 fr. à B______ SA et C______ SA, solidairement entre elles, à titre de dépens d'appel. Siégeant : Monsieur Jean REYMOND, président; Madame Sylvie DROIN, Monsieur Ivo BUETTI,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