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ACJC/52/2019 vom 16. Januar 2019</w:t>
      </w:r>
    </w:p>
    <w:p>
      <w:r>
        <w:t>GE Cour de justice, 2019-01-16, FR</w:t>
      </w:r>
    </w:p>
    <w:p>
      <w:r>
        <w:rPr>
          <w:b/>
        </w:rPr>
        <w:t xml:space="preserve">Quelle: </w:t>
      </w:r>
      <w:r>
        <w:t>https://mcp.opencaselaw.ch/entscheid/ge_gerichte_ACJC_52_2019</w:t>
      </w:r>
    </w:p>
    <w:p>
      <w:r>
        <w:t>FR: GE_GERICHTE ACJC/52/2019 du 16 janvier 2019</w:t>
      </w:r>
    </w:p>
    <w:p>
      <w:r>
        <w:t>IT: GE_GERICHTE ACJC/52/2019 del 16 gennaio 2019</w:t>
      </w:r>
    </w:p>
    <w:p>
      <w:pPr>
        <w:pStyle w:val="Heading2"/>
      </w:pPr>
      <w:r>
        <w:t>Erwägungen</w:t>
      </w:r>
    </w:p>
    <w:p>
      <w:r>
        <w:rPr>
          <w:b/>
        </w:rPr>
        <w:t>E. 1</w:t>
      </w:r>
    </w:p>
    <w:p>
      <w:r>
        <w:t>Interjeté contre une décision finale (art. 308 al. 1 let. a CPC) auprès de l'autorité compétente (art. 120 al. 1 let. a LOJ) dans le délai utile de trente jours et selon la forme prescrite par la loi (art. 311 CPC), l'appel est recevable.</w:t>
      </w:r>
    </w:p>
    <w:p>
      <w:r>
        <w:t>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qu'il a retenus (art. 157 CPC; ATF 138 III 374 consid. 4.3.1; arrêt du Tribunal fédéral 4A_153/2014 du 28 août 2014 consid. 2.2.3).</w:t>
      </w:r>
    </w:p>
    <w:p>
      <w:r>
        <w:rPr>
          <w:b/>
        </w:rPr>
        <w:t>E. 2</w:t>
      </w:r>
    </w:p>
    <w:p>
      <w:r>
        <w:t>Au vu du siège de l'intimé au Kazakhstan, la présente cause comporte un élément d'extranéité (art. 1 al. 1 LDIP). Compte tenu de l'élection de for et de droit prévue par les parties, le Tribunal a admis, à juste titre, la compétence des tribunaux genevois pour connaître du litige et l'application du droit suisse (art. 5 al. 1 et 116 al. 1 et 2 LDIP). Les parties ne le contestent d'ailleurs pas.</w:t>
      </w:r>
    </w:p>
    <w:p>
      <w:r>
        <w:rPr>
          <w:b/>
        </w:rPr>
        <w:t>E. 3</w:t>
      </w:r>
    </w:p>
    <w:p>
      <w:r>
        <w:t>Le litige porte sur la question d'une éventuelle responsabilité de la Banque du fait qu'elle a procédé à des opérations de couverture de change visant à couvrir la livre sterling.</w:t>
      </w:r>
    </w:p>
    <w:p>
      <w:r>
        <w:t>3.1.1 Dans le domaine de la gestion de fortune au sens large du terme, il existe trois types de relations contractuelles entre la banque et son client : 1) dans le cadre d’une activité execution only, la banque se limite à exécuter les opérations décidées par le client ou un tiers gérant; 2) dans le cadre d’un conseil en placement, la banque recommande au client d’acheter ou de vendre des instruments financiers ou des valeurs mobilières, le client donnant lui-même finalement les ordres; 3) dans le cadre d’un mandat de gestion, la banque décide des transactions à exécuter sur le compte du client et exécute elle-même ces opérations (arrêts du Tribunal fédéral 4A_593/2015 du 13 décembre 2016 consid. 7.1; 4C.108/2002 du 23 juillet 2002 consid. 2a; LOMBARDINI, Responsabilité de la banque dans le domaine de la gestion de fortune : état de la jurisprudence et questions ouvertes in SJ 2008 II 415). Des conseils ou avis donnés par la banque dans le cadre d’une opération d’investissement relèvent généralement d’un contrat de conseil en placement conclu par actes concluants et soumis aux règles du mandat. En particulier, la banque et son client sont liés par un contrat de conseil en placement lorsque (i) le client sollicite un conseil de la banque afin de décider s’il va ou non effectuer une transaction, et que la banque prodigue le conseil demandé tout en reconnaissant</w:t>
      </w:r>
    </w:p>
    <w:p>
      <w:r>
        <w:t>- 20/28 -</w:t>
      </w:r>
    </w:p>
    <w:p>
      <w:r>
        <w:t>C/8486/2015 l’importance de celui-ci pour la décision que le client va prendre, (ii) la banque suggère de procéder ou de ne pas procéder de façon concrète à certaines opérations, en sachant que le client se fiera à son avis (LOMBARDINI, Droit bancaire suisse, 2ème éd. 2008, p. 791, n. 9). L'étendue du devoir d'information de la banque dépend aussi des connaissances et du degré d'expérience du client; si le client connaît les risques de la spéculation, la banque n'a pas de devoir d'information. Selon les cas, le conseil donné par la banque peut devoir se rapporter également à l'adéquation du placement envisagé par rapport à la situation financière personnelle du client (ATF 133 III 97 consid. 7.2 in fine); la banque doit donc se renseigner sur cet aspect, et notamment s'enquérir du degré de risque que le client est prêt à assumer (arrêt du Tribunal fédéral 4A_444/2012 du 10 décembre 2012 consid. 3.2, in SJ 2013 I 512). La banque peut aussi devoir avertir le client que sa stratégie n'est pas adéquate, devoir qui ne doit toutefois pas être admis trop facilement (arrêt du Tribunal fédéral 4A_593/2015 du 13 décembre 2016 consid. 7.1.3). En règle générale, le client supporte seul le risque découlant de sa décision, sachant qu'il ne peut pas se fier sûrement à un conseil concernant un événement futur incertain (ATF 119 II 333 consid. 7a). La banque n'assume pas de responsabilité pour le (mauvais) conseil donné, à moins qu'au moment où elle s'est exprimée, son conseil - objectivement faux - n'ait été manifestement déraisonnable (ATF 119 II 333 consid. 7a; arrêt du Tribunal fédéral 4A_444/2012 du 10 décembre 2012). 3.1.2 Lorsque les instructions du mandant sont peu claires ou imprécises, il appartient au mandataire de demander au mandant de les préciser (TERCIER/BIERI/CARRON, Les contrats spéciaux, Genève 2016, 5e éd, p. 634, n. 4450; GUTZWILLER, Rechtsfragen der Vermögensverwaltung, Zurich 2008, pp. 218 et 248; WEBER, in Basler Kommentar, Obligationenrecht I, Bâle 2015, n. 4 ad art. 397 CO). La Banque a le même devoir en matière de mandat de gestion (LOMBARDINI, op. cit., 2ème éd. 2008, p. 805, n. 19). 3.1.3 Par la clause de banque restante, la banque accepte de conserver chez elle, dans le dossier bancaire du client, les avis qu'elle doit lui adresser, mais prévoit que les communications ainsi faites sont opposables à celui-ci comme s'il les avait effectivement reçues. Selon la jurisprudence, le client qui adopte ce mode de communication est censé avoir reçu immédiatement les avis qui lui sont adressés de cette façon (fiction de réception); il sera traité de la même façon que le client qui aura réellement reçu le courrier, quant à la fiction de ratification d'une opération non contestée dans un certain délai. Les fictions de réception et de ratification ne sont toutefois opposables au client que pour autant que la banque ne commette pas d'abus de droit (art. 2 al. 2 CC; arrêt du Tribunal fédéral 4A_471/2017 du 3 septembre 2018 consid. 4.2.1 et 4.2.2).</w:t>
      </w:r>
    </w:p>
    <w:p>
      <w:r>
        <w:t>- 21/28 -</w:t>
      </w:r>
    </w:p>
    <w:p>
      <w:r>
        <w:t>C/8486/2015 Que les avis de transaction et extraits de compte conservés en banque restante à la demande du client le soient sous forme électronique plutôt que sous forme de documents imprimés jusqu'au moment où le client vient les retirer ne saurait avoir d'incidence sur la date à laquelle ils sont réputés valablement notifiés selon la convention de banque restante (arrêt du Tribunal fédéral 4A_262/2008 du 23 septembre 2008 consid. 4.2.2). 3.1.4 En matière contractuelle, les conditions d'une action en responsabilité sont énoncées à l'art. 97 al. 1 CO. Si le client ne peut obtenir l'exécution de l'obligation ou ne peut l'obtenir qu'imparfaitement, la banque est tenue de réparer le dommage en résultant, à moins qu'elle ne prouve qu'aucune faute ne lui est imputable (arrêts du Tribunal fédéral 4A_168/2008 déjà cité consid. 2.6; 4C.191/2004 du</w:t>
      </w:r>
    </w:p>
    <w:p>
      <w:r>
        <w:rPr>
          <w:b/>
        </w:rPr>
        <w:t>E. 3.2</w:t>
      </w:r>
    </w:p>
    <w:p>
      <w:r>
        <w:t>En l'espèce, au début de l'année 2008, l'intimé a consulté la Banque en vue de gérer une partie de sa fortune. Les discussions ont d'abord porté sur la gestion d'un montant de 100 millions de dollars américains. Les documents signés le 10 avril 2008 liés à l'ouverture de la relation bancaire ne font ainsi aucune référence à la gestion de sommes en livres sterling. Peu de temps avant le remise des fonds, l'intimé, par le biais de D______, a informé la banque du versement d'une quantité importante de livres sterling en lieu et place de dollars américains. Il n'est pas contesté que les parties ont discuté, lors de plusieurs échanges téléphoniques, de ce changement de circonstances avant que l'argent ne soit transféré à la Banque. Il ressort des déclarations de l'intimé qu'il avait alors demandé à la Banque s'il fallait convertir les livres sterling en dollars avant le transfert des fonds et que celle-ci lui avait répondu que cela n'était pas nécessaire. L'intimé a ajouté qu'il n'avait pas donné l'instruction de convertir les livres sterling et que, dans son esprit, il appartenait à la Banque de décider dans quels actifs et en quelles devises le patrimoine devait être investi,</w:t>
      </w:r>
    </w:p>
    <w:p>
      <w:r>
        <w:t>- 22/28 -</w:t>
      </w:r>
    </w:p>
    <w:p>
      <w:r>
        <w:t>C/8486/2015 étant précisé qu'il souhaitait une gestion conservatrice. Ces éléments laissent fortement supposer que la Banque a présenté la possibilité à l'intimé de conserver une partie de son patrimoine en livres sterling et que l'intimé a suivi cette proposition dans la mesure où elle lui est apparue comme conforme à son profil d'investisseur conservateur. Après le transfert des fonds, le 26 mai 2008, D______ a demandé à J______ une estimation de ces derniers en dollars américains afin de connaître le solde d'ouverture, confirmant ainsi la volonté de l'intimé de maintenir les fonds en livres sterling. Par courriel du jour suivant, J______ a, en conformité avec l'instruction reçue, informé sa collègue chargée des mandats discrétionnaires en Hedge Funds qu'il fallait procéder à des opérations de couverture de change pour cette devise. Si ce courriel n'est pas apparu clair à son auteur, J______, entendu comme témoin</w:t>
      </w:r>
    </w:p>
    <w:p>
      <w:r>
        <w:rPr>
          <w:b/>
        </w:rPr>
        <w:t>E. 7</w:t>
      </w:r>
    </w:p>
    <w:p>
      <w:r>
        <w:t>septembre 2004 consid. 4.2). On discerne donc quatre conditions cumulatives : une violation du contrat (sous la forme de l'inexécution ou de la mauvaise exécution d'une obligation), une faute (qui est présumée), un rapport de causalité (naturelle et adéquate) et un dommage. S'agissant du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et elle peut également établir des faits libératoires, par exemple que le client a donné de nouvelles instructions ou qu'il a ratifié après coup les opérations effectuées (arrêts du Tribunal fédéral 4A_90/2011 du 22 juin 2011; 4C.18/2004 du 3 décembre 2004 consid. 1.5 et 1.8).</w:t>
      </w:r>
    </w:p>
    <w:p>
      <w:r>
        <w:rPr>
          <w:b/>
        </w:rPr>
        <w:t>E. 9</w:t>
      </w:r>
    </w:p>
    <w:p>
      <w:r>
        <w:t>ans après les faits, les témoins M______, à qui le courriel était adressé, et N______, qui travaillait dans sa même équipe, en ont confirmé la teneur sans hésitation. A cet égard, il résulte du rapport établi par O______ SA le 26 janvier 2016, dont les constatations factuelles ne sont pas contestées, qu'en l'absence d'instruction du client de convertir les devises GBP en USD, la Banque devait mettre en place une couverture du risque de change afin que le capital investi ne soit exposé qu'au rendement des Hedge Funds disponibles uniquement en dollars américains et non pas également à l'évolution du taux de change. Cet élément est également confirmé par le témoignage de M______, selon lequel si les montants confiés à son groupe n'étaient pas convertis en dollars américains, il fallait procéder à une opération de couverture du risque de change. Les opérations de couverture étaient par conséquent justifiées en l'espèce, ce d'autant plus que le client souhaitait une gestion conservatrice de ses avoirs. Il apparaît ainsi que les parties ont discuté en mai 2008 de la possibilité de ne pas convertir les livres sterling en dollars américains et qu'à l'issue de ces entretiens, l'intimé a opté pour cette alternative. Si D______ n'a compris le fonctionnement des opérations de couverture de change qu'après plusieurs mois, soit lorsque la livre sterling a commencé à chuter de manière significative, cet élément ne saurait suffire pour retenir que J______ aurait failli à son devoir de conseil en mai 2008. En effet, l'intimé, homme d'affaire avisé, qui était au surplus assisté d'une personne disposant d'une longue expérience dans le domaine bancaire, ne pouvait ignorer que le maintien d'un portefeuille dans une certaine devise consistait en un investissement dans cette même devise, qui serait nécessairement influencé par la fluctuation du taux de change. L'intimé n'est au demeurant pas crédible lorsqu'il soutient qu'il était clair que tout devait être converti en dollars par la Banque. Il ressort de son témoignage qu'étant très occupé par ses activités professionnelles, il n'avait pas suivi de près toutes les</w:t>
      </w:r>
    </w:p>
    <w:p>
      <w:r>
        <w:t>- 23/28 -</w:t>
      </w:r>
    </w:p>
    <w:p>
      <w:r>
        <w:t>C/8486/2015 opérations effectuées par la Banque, ayant notamment demandé à D______ de n'attirer son attention qu'en cas de problème, et qu'il s'en était très largement remis à l'appréciation de l'appelante. L'intimé a déclaré qu'il appartenait à celle-ci de décider en quelles devises son patrimoine devait être géré, qu'il ne se souvenait pas si des opérations sur le Forex lui avaient été proposées, et que cela n'aurait de toute façon eu aucun sens de lui demander son approbation pour de telles opérations dans la mesure où il n'y connaissait rien. Aussi, même à admettre que l'intimé n'eût pas eu conscience de ce que la conservation de livres sterling sur son Compte, qui pouvaient être investies dans des placements disponibles en d'autres devises, serait soumise aux fluctuations du GBP, il y aurait lieu de retenir qu'il aurait en tout état de cause donné son consentement aux opérations de couverture de risque de change, dans la mesure où cette alternative était proposée par la Banque, qu'elle répondait à ses exigences de gestion conservatrice et qu'elle n'apparaissait alors pas déraisonnable. S'agissant de la monnaie de référence indiquée sur les documents d'ouverture de compte, on ne saurait retenir la thèse de D______ selon laquelle cette mention prévoyait que les comptes ne contiennent que des dollars américains. Il s'agit en effet d'un moyen pour l'estimation globale en une monnaie unique de l'ensemble des avoirs du client de manière à tenir également compte des variations de change sur les actifs libellés en différentes devises (cf. déclarations de P______; cf. ég. ACJC/38/2013 consid. 6.4). Cette définition est d'ailleurs conforme à la volonté réelle de l'intimé, qui a déclaré que l'idée était de recevoir l'estimation de son patrimoine calculé en dollars américains, dans la mesure où il avait toujours travaillé en référence au dollar américain. A une date inconnue, mais avant le 22 août 2008, de nouveaux documents d'ouverture de compte ont été signés par l'intimé, dès lors qu'il souhaitait que son épouse soit co-titualaire du Compte. Les conditions dans lesquelles et les raisons pour lesquelles J______ a apposé sur le formulaire la mention GBP comme monnaie de référence sont inconnues. Le Tribunal a retenu que J______ n'avait pas reçu une instruction claire s'agissant du sort des livres sterling et, plutôt que de saisir, quoique tardivement, l'occasion de clarifier avec le client la situation à l'occasion de la signature d'une nouvelle documentation d'ouverture de compte en juin 2008 pour inscrire l'épouse de B______ comme co-titulaire, il avait modifié à l'insu du client la monnaie de référence de USD à GBP. Comme les fonds reçus devaient être dans la devise du mandat et qu'en cas de divergence, une instruction spécifique du gérant était nécessaire, en modifiant sans droit la devise du mandat, alors que la livre sterling chutait déjà, J______ résolvait du même coup toute éventuelle ambiguïté dans les instructions données au Groupe de gestion alternative, puisque précisément</w:t>
      </w:r>
    </w:p>
    <w:p>
      <w:r>
        <w:t>- 24/28 -</w:t>
      </w:r>
    </w:p>
    <w:p>
      <w:r>
        <w:t>C/8486/2015 aucune instruction ne devenait nécessaire, des livres sterling ayant été transférées en vue de l'exécution d'un mandat désormais en GBP. Cette thèse ne saurait être suivie, dès lors qu'elle se fonde essentiellement sur le témoignage des deux employés de la banque, spécialistes en Hedge Funds, lesquels ne parlent toutefois que de la monnaie de référence liée au mandat portant sur les placements alternatifs. M______ a précisé que dans ce type de mandat, la monnaie de référence ne pouvait être que le dollar américain ou l'euro, les Hedge Funds n'étant qu'en ces deux devises. En l'occurrence, la monnaie de référence était le dollar, les investissements voulus par le client n'étant disponibles qu'en cette monnaie. Aussi, en apposant la mention "GBP" sur les documents d'ouverture de compte - et non pas sur celui du mandat de gestion lié aux placements alternatifs -, J______ ne pouvait résoudre le prétendu défaut d'instruction du client de conserver des livres sterling et de procéder en conséquence à des opérations de couverture de risque de change pour protéger cette devise. Il ne sera à cet égard pas tenu compte du témoignage, vague et peu convaincant, de J______, qui a dit penser que la mention "GBP" avait eu pour effet que le gérant des placements alternatifs avait protégé la livre sterling. Les témoignages des spécialistes en Hedge Funds ne font pas référence au document d'ouverture de compte de l'intimé et M______ a même déclaré qu'elle ne s'occupait que de son propre portefeuille et n'avait pas une vision de l'ensemble du portefeuille du client, ni des devises dont il disposait. Ladite mention "GBP" n'a en tout état de cause pas eu d'incidence sur les opérations effectuées par la Banque. Cette dernière a en effet continué à couvrir le risque de change de manière à conserver les livres sterlings et les dollars américains détenus sur le compte dans la même proportion. Au vu de ce qui précède, on ne saurait suivre le Tribunal lorsqu'il retient que J______ aurait procédé à une mauvaise interprétation des instructions reçues du client, en ne clarifiant pas ce que signifiait "could manage en GBP", ce d'autant moins que l'expression "could manage en GBP" est tirée d'un courriel rédigé le 15 janvier 2009, soit huit mois après les faits, par J______, et qu'il n'est pas établi que l'intimé ait réellement usé ces mots pour instruire son mandataire. Il résulte en revanche des éléments au dossier que l'intimé a consenti à investir une partie de ses fonds en livres sterling et, partant, à prendre le risque d'une éventuelle dévaluation de cette devise. Il n'a au demeurant pas immédiatement réagi pour soutenir que tel n'aurait pas été le cas en octobre 2008, lorsque D______ s'est rendue compte de l'impact de la chute de la livre sterling sur son portefeuille. Par ses déclarations et son comportement, l'intimé apparaît avoir suivi les conseils de la Banque, sans montrer beaucoup d'intérêts aux opérations envisagées, partant de l'idée qu'il avait confié son argent à l'appelante et qu'il devait le récupérer avec</w:t>
      </w:r>
    </w:p>
    <w:p>
      <w:r>
        <w:t>- 25/28 -</w:t>
      </w:r>
    </w:p>
    <w:p>
      <w:r>
        <w:t>C/8486/2015 une compensation pour l'inflation. Il n'est ni établi, ni même allégué, que les conseils donnés par la Banque étaient faux ou manifestement déraisonnables. Il n'est par ailleurs pas démontré que l'appelante aurait commis un autre manquement ayant causé un dommage à l'intimé. A cet égard, le fait que les relevés du compte "Fundinvest" ont été établis en livres sterling dès le mois d'octobre 2008, contrairement aux instructions du client, n'a eu aucune conséquence dommageable pour celui-ci. Enfin, la Banque a rapidement attiré l'attention de son client, au début du mois de septembre 2008, sur la nécessité d'envisager une diversification des devises en raison de la chute de la livre sterling. Les déclarations de D______, selon lesquelles cet avertissement était à son sens une simple remarque d’ordre économique qui ne concernait pas l'essentiel des avoirs de l'intimé, ne convainquent pas. L'intimé et sa conseillère ne pouvaient ignorer qu'ils avaient souhaité conserver une grande partie des fonds en livres sterling. Par ailleurs, selon ses propres déclarations, D______ avait déjà reçu à la fin du mois d'août 2008 les rapports des mois de juin et juillet 2008 concernant l'intégralité des 100 millions confiés. Or, à la lecture des relevés liés au compte courant, dont rien au dossier n'indique que leur présentation aurait été différente de mai à octobre 2008, et des rapports de comptes consolidés du 30 juin 2008, il est évident que le portefeuille était exposé en grande partie à la livre sterling. Les opérations de change figuraient en outre sur les relevés du compte courant et D______, qui dispose d'une formation et d'une longue expérience en finance, aurait dû à tout le moins être interpellée par ces écritures. Ces relevés étaient au demeurant disponibles sur l'intranet de la Banque et en banque restante. Il ressort du dossier que D______ a été en mesure de se connecter à l'intranet de l'appelante en mai 2008 déjà et qu'un nouveau mot de passe lui a été fourni le 8 septembre 2008 non par parce qu'elle rencontrait des problèmes de connexion avec l'ancien mot de passe, mais parce qu'elle avait égaré celui-ci. D______ a par ailleurs précisé devant le Tribunal que les difficultés rencontrées dans l'utilisation de l'intranet de la Banque consistaient en un manque de "convivialité" de ce service; ce manque de "convivialité" ne l'a toutefois pas empêchée de suivre quotidiennement l'évolution du Compte dès octobre 2008, date à laquelle elle a pris conscience de l'ampleur des pertes subies. Ces éléments permettent de retenir que la connexion au Compte de l'intimé, et partant la consultation des relevés bancaires de celui-ci, ont toujours été possibles, même au début de la relation bancaire. L'intimé pouvait au surplus demander l'impression et la consultation des documents conservés en banque restante, parmi lesquels se trouvaient les comptes consolidés du 30 juin 2008. Dans ces circonstances, il doit se laisser opposer la fiction de la réception de ces documents et de la ratification des opérations effectuées par la Banque. Les éléments au dossier ne contiennent à cet égard pas d'indices suffisants pour retenir un abus de droit de la Banque faisant échec à cette fiction.</w:t>
      </w:r>
    </w:p>
    <w:p>
      <w:r>
        <w:t>- 26/28 -</w:t>
      </w:r>
    </w:p>
    <w:p>
      <w:r>
        <w:t>C/8486/2015 Au demeurant, l'intimé n'allègue pas, ni ne démontre, l'existence d'un dommage en raison d'un retard de la Banque dans l'information de l'évolution de son portefeuille. Les conditions d'une responsabilité contractuelle n'étant pas remplies, l'intimé doit être débouté de l'entier de ses conclusions en paiement. Le jugement sera donc annulé (art. 318 CPC) et la demande en paiement entièrement rejetée. 4. 4.1 Si l'instance d'appel statue à nouveau, elle se prononce sur les frais de la première instance (art. 318 al. 3 CPC). Conformément à l'art. 106 CPC, les frais sont mis à la charge de la partie succombante (al. 1). Lorsqu'aucune des parties n'obtient entièrement gain de cause, les frais sont répartis selon le sort de la cause (al. 2). 4.2 Le montant des frais judiciaires de première instance de 150'200 fr. n'étant pas remis en cause, il sera confirmé. L'intimé ayant succombé sur l'entier de ses conclusions, il sera condamné au paiement des frais judiciaires de première instance en 150'200 fr., ainsi qu'aux dépens de la Banque, fixés à 100'000 fr. TTC, ces montants, conformes aux principes applicables en la matière, n'ayant pas été critiqués en appel. Les frais judiciaires seront compensés avec l'avance de frais de même montant fournie par l'intimé (art. 111 al. 1 CPC).</w:t>
      </w:r>
    </w:p>
    <w:p>
      <w:r>
        <w:t>4.3 Compte tenu d'une valeur litigieuse de l'ordre de 9'280'000 fr. (9'469'694 USD converti au taux de 0.98, cf.www.fxtop.com), les frais d'appel seront arrêtés à 90'000 fr. (art. 17 et 35 RTFMC) et partiellement compensés avec l'avance de frais de 30'000 fr. versée par la Banque, qui reste acquise à l'Etat de Genève (art. 111 al. 1 CPC). Au vu de l'issue du litige, ces frais seront mis à la charge de l'intimé (art. 106 al. 1 CPC), qui sera en conséquence condamné à verser 60'000 fr. à l'Etat de Genève et 30'000 fr. à l'appelante. L'intimé sera en outre condamné à payer à l'appelante 40'000 fr. TTC à titre de dépens d'appel, débours et TVA inclus (art. 85 et 90 RTFMC; art. 25 et 26 LaCC). * * * * *</w:t>
      </w:r>
    </w:p>
    <w:p>
      <w:r>
        <w:t>- 27/28 -</w:t>
      </w:r>
    </w:p>
    <w:p>
      <w:r>
        <w:t>C/8486/2015 PAR CES MOTIFS, La Chambre civile : A la forme : Déclare recevable l'appel interjeté le 6 juillet 2018 par A______ SA contre le jugement JTPI/8838/2018 rendu le 5 juin 2018 par le Tribunal de première instance dans la cause C/8486/2015-12. Au fond : Annule ce jugement. Cela fait, statuant à nouveau : Déboute B______ de toutes ses conclusions. Arrête les frais judiciaires à 150'200 fr., les met à la charge de B______ et les compense avec l'avance fournie par celui-ci, qui reste acquise à l'Etat de Genève. Condamne B______ à payer à A______ SA le montant de 100'000 fr. TTC au titre de dépens. Déboute les parties de toutes autres conclusions. Sur les frais : Arrête les frais d'appel à 90'000 fr., dit qu'ils sont partiellement compensé avec l'avance de frais de 30'000 fr., qui reste acquise à l'Etat de Genève, et les met à la charge de B______. Condamne B______ à verser 60'000 fr. à l'Etat de Genève, soit pour lui les Services financiers du Pouvoir judiciaire, et 30'000 fr. à A______ SA. Condamne B______ à verser à A______ SA 40'000 fr. TTC à titre de dépens d'appel. Siégeant : Madame Jocelyne DEVILLE-CHAVANNE, présidente; Mesdames Nathalie LANDRY-BARTHE et Eleanor McGREGOR, juges; Madame Jessica ATHMOUNI, greffière. La présidente : Jocelyne DEVILLE-CHAVANNE</w:t>
      </w:r>
    </w:p>
    <w:p>
      <w:r>
        <w:t>La greffière : Jessica ATHMOUNI</w:t>
      </w:r>
    </w:p>
    <w:p>
      <w:r>
        <w:t>- 28/28 -</w:t>
      </w:r>
    </w:p>
    <w:p>
      <w:r>
        <w:t>C/8486/2015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