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ACJC/52/2016 vom 22. Januar 2016</w:t>
      </w:r>
    </w:p>
    <w:p>
      <w:r>
        <w:t>GE Cour de justice, 2016-01-22, FR</w:t>
      </w:r>
    </w:p>
    <w:p>
      <w:r>
        <w:rPr>
          <w:b/>
        </w:rPr>
        <w:t xml:space="preserve">Quelle: </w:t>
      </w:r>
      <w:r>
        <w:t>https://mcp.opencaselaw.ch/entscheid/ge_gerichte_ACJC_52_2016</w:t>
      </w:r>
    </w:p>
    <w:p>
      <w:r>
        <w:t>FR: GE_GERICHTE ACJC/52/2016 du 22 janvier 2016</w:t>
      </w:r>
    </w:p>
    <w:p>
      <w:r>
        <w:t>IT: GE_GERICHTE ACJC/52/2016 del 22 gennaio 2016</w:t>
      </w:r>
    </w:p>
    <w:p>
      <w:pPr>
        <w:pStyle w:val="Heading2"/>
      </w:pPr>
      <w:r>
        <w:t>Volltext</w:t>
      </w:r>
    </w:p>
    <w:p>
      <w:r>
        <w:t>Le présent arrêt est communiqué aux parties par plis recommandés du 22 janvier 2016.</w:t>
      </w:r>
    </w:p>
    <w:p>
      <w:r>
        <w:t>RÉPUBLIQUE ET</w:t>
      </w:r>
    </w:p>
    <w:p>
      <w:r>
        <w:t>CANTON DE GENÈVE POUVOIR JUDICIAIRE C/16286/2015 ACJC/52/2016 ARRÊT DE LA COUR DE JUSTICE Chambre civile DU VENDREDI 22 JANVIER 2016</w:t>
      </w:r>
    </w:p>
    <w:p>
      <w:r>
        <w:t>Entre A______, domiciliée ______, (GE), appelante d'un jugement rendu par la 16ème Chambre du Tribunal de première instance de ce canton le 9 décembre 2015, comparant par Me Cyril Aellen, avocat, 61, rue du Rhône, case postale 3558, 1211 Genève 3, en l'étude duquel elle fait élection de domicile, et B______, domicilié ______, (GE), intimé, comparant par Me Michael Anders, avocat, 11, rue du Conseil-Général, 1205 Genève, en l'étude duquel il fait élection de domicile.</w:t>
      </w:r>
    </w:p>
    <w:p>
      <w:r>
        <w:t>- 2/4 -</w:t>
      </w:r>
    </w:p>
    <w:p>
      <w:r>
        <w:t>C/16286/2015 Vu, EN FAIT, le jugement JTPI/15009/2015 du 9 décembre 2015, notifié le 14 décembre 2015 à A______, aux termes duquel le Tribunal de première instance, statuant sur mesures provisionnelles, a, notamment, fixé la contribution d'entretien en faveur de B______ à 2'000 fr. par mois, à compter du 1er janvier 2016 (ch. 4); Vu l'appel déposé le 23 décembre 2015 par A______ au greffe de la Cour de justice par lequel elle demande qu'il soit dit qu'aucune contribution d'entretien n'est due; Qu'elle requiert l'octroi de l'effet suspensif, expliquant que son disponible de 2'700 fr. par mois ne lui permet pas de couvrir les charges de sa fille majeure, ni celles liées à un éventuel nouveau logement, en particulier à la fourniture d'une garantie de loyer qu'elle estime à au moins 6'000 fr.; Qu'invité à se déterminer sur la requête d'effet suspensif, l'intimé s'y oppose, exposant que les frais de la fille majeure du couple ne sont pas documentés ni même chiffrés, qu'il est disposé à loger sa fille dans l'ancien domicile conjugal et à laisser à l'appelante le temps suffisant pour trouver un logement adéquat;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 disponible de l'appelante lui permet de faire face au paiement de la somme de 2'000 fr. arrêtée par le Tribunal; Qu'elle reconnaît que l'obligation d'entretien en faveur de l'intimé prend le pas sur celui de la fille majeure du couple;</w:t>
      </w:r>
    </w:p>
    <w:p>
      <w:r>
        <w:t>- 3/4 -</w:t>
      </w:r>
    </w:p>
    <w:p>
      <w:r>
        <w:t>C/16286/2015 Qu'elle ne rend, en outre, pas vraisemblable à ce stade qu'elle serait sur le point de conclure un nouveau bail, étant précisé que le Tribunal a retenu un loyer estimatif de 2'000 fr. par mois pour l'appelante et que le versement d'une garantie de loyer ne constitue pas une charge durable; Que, partant, le paiement de la contribution d'entretien n'est pas susceptible de porter atteinte au minimum vital de l'appelante; Qu'en outre, si l'appel devait être admis, même partiellement, l'appelante pourra opposer en compensation l'éventuel montant versé en trop dans le cadre de la liquidation du régime matrimonial des parties; Qu'ainsi, l'exécution immédiate du jugement n'étant pas susceptible de causer à l'appelante un préjudice difficilement réparable, il n'y a pas lieu de prononcer l'effet suspensif;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- 4/4 -</w:t>
      </w:r>
    </w:p>
    <w:p>
      <w:r>
        <w:t>C/16286/2015 PAR CES MOTIFS, La Présidente de la Chambre civile : Statuant sur suspension de l'exécution : Rejette la requête de A______ tendant à la suspension de l'effet exécutoire attaché au chiffre 4 du dispositif du jugement JTPI/15009/2015 rendu le 9 décembre 2015 par le Tribunal de première instance dans la procédure C/16286/2015-16.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