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ACJC/525/2025 vom 17. April 2025</w:t>
      </w:r>
    </w:p>
    <w:p>
      <w:r>
        <w:t>GE Cour de justice, 2025-04-17, FR</w:t>
      </w:r>
    </w:p>
    <w:p>
      <w:r>
        <w:rPr>
          <w:b/>
        </w:rPr>
        <w:t xml:space="preserve">Quelle: </w:t>
      </w:r>
      <w:r>
        <w:t>https://mcp.opencaselaw.ch/entscheid/ge_gerichte_ACJC_525_2025</w:t>
      </w:r>
    </w:p>
    <w:p>
      <w:r>
        <w:t>FR: GE_GERICHTE ACJC/525/2025 du 17 avril 2025</w:t>
      </w:r>
    </w:p>
    <w:p>
      <w:r>
        <w:t>IT: GE_GERICHTE ACJC/525/2025 del 17 aprile 2025</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w:t>
      </w:r>
    </w:p>
    <w:p>
      <w:r>
        <w:t>- 7/14 -</w:t>
      </w:r>
    </w:p>
    <w:p>
      <w:r>
        <w:t>C/10905/2024 Le recours, écrit et motivé, doit être introduit auprès de l'instance de recours dans les dix jours dès la notification de la décision motivée (art. 278 al. 1 LP et 321 al. 2 CPC). Déposé selon la forme et dans le délai requis par la loi (art. 130, 131 et 142 al. 1 et</w:t>
      </w:r>
    </w:p>
    <w:p>
      <w:r>
        <w:rPr>
          <w:b/>
        </w:rPr>
        <w:t>E. 1.2</w:t>
      </w:r>
    </w:p>
    <w:p>
      <w:r>
        <w:t>Les parties ont déposé de nombreuses écritures spontanées et produit des pièces complémentaires devant la Cour.</w:t>
      </w:r>
    </w:p>
    <w:p>
      <w:r>
        <w:rPr>
          <w:b/>
        </w:rPr>
        <w:t>E. 1.2.1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695, consid. 4.1.4; 142 III 413 consid. 2.2.3-2.2.6; arrêts du Tribunal fédéral 5A_478/2016 du 10 mars 2017 consid. 4.2.2; 5A_456/2016 du 28 octobre 2016 consid. 4.1.2).</w:t>
      </w:r>
    </w:p>
    <w:p>
      <w:r>
        <w:rPr>
          <w:b/>
        </w:rPr>
        <w:t>E. 1.2.2</w:t>
      </w:r>
    </w:p>
    <w:p>
      <w:r>
        <w:t>En l'espèce, les parties se sont exprimées à plusieurs reprises devant la Cour, avant d'être informées de ce que la cause était gardée à juger par avis du 3 janvier 2025. Seules les écritures déposées jusqu'à cette date sont donc recevables, les écritures, pièces et faits invoqués postérieurement à la mise en délibération étant, quant à eux, irrecevables. S'agissant des pièces produites à l'appui des écritures admissibles, les pièces 44, 45, 49, 50 et 51 de la recourante datent de février et mars 2024 et, partant, existaient déjà lors de la procédure de première instance. La recourante n'explique pas pour quel motif elle aurait été empêchée de s'en prévaloir précédemment. Ces pièces, produites tardivement, sont donc irrecevables. En revanche, ses pièces 46,</w:t>
      </w:r>
    </w:p>
    <w:p>
      <w:r>
        <w:t>- 8/14 -</w:t>
      </w:r>
    </w:p>
    <w:p>
      <w:r>
        <w:t>C/10905/2024 47, 52, 53 et 54 à 59 sont postérieures à la date à laquelle le Tribunal a gardé la cause à juger et ont été produites sans retard, de sorte qu'elles sont recevables. Pour le surplus, les pièces produites par la recourante jusqu'au 3 janvier 2025 sont des actes de procédure qui figurent déjà au dossier et qui ne constituent dès lors pas des pièces nouvelles. Les pièces produites par l'intimée jusqu'à la mise en délibération de la cause devant la Cour sont toutes recevables dès lors qu'elles se rapportent à des faits postérieurs à la date à laquelle la cause a été gardée à juger par le Tribunal et ont été produites avec la diligence requise.</w:t>
      </w:r>
    </w:p>
    <w:p>
      <w:r>
        <w:rPr>
          <w:b/>
        </w:rPr>
        <w:t>E. 1.3</w:t>
      </w:r>
    </w:p>
    <w:p>
      <w:r>
        <w:t>La cognition de la Cour est limitée à la violation du droit et à la constatation manifestement inexacte des faits (art. 320 CPC et 278 al. 3 LP). 2. Invoquant une constatation manifestement inexacte des faits, la recourante reproche au Tribunal d'avoir considéré que l'existence de sa créance n'avait pas été rendue suffisamment vraisemblable.</w:t>
      </w:r>
    </w:p>
    <w:p>
      <w:r>
        <w:t>2.1.1 En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créancier séquestrant a le fardeau de l’allégation et de la preuve des faits qui sont à l’origine de sa créance. Il doit ainsi alléguer les faits et, pratiquement, produire une pièce ou un ensemble de pièces qui permettent au juge du séquestre d'acquérir, sur le plan de la simple vraisemblance, la conviction que la prétention existe pour le montant énoncé et qu'elle est exigible. Le critère de la vraisemblance s'applique non seulement à l'existence de la créance en fait, mais aussi à son existence juridique (ATF 138 III 232 consid. 4.1.1; arrêt du Tribunal fédéral 5A_328/2023 du 15 février 2024 consid. 6.2.2 et les références citées). 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(ATF 140 III 466 consid. 4.2.3). La cognition du juge est limitée à la simple vraisemblance des faits et à un examen sommaire du droit (ATF 140 III 466 consid. 4.2.3; arrêt du Tribunal fédéral 5A_328/2023 du 15 février 2024 consid. 6.2.2 et les références citées). Il</w:t>
      </w:r>
    </w:p>
    <w:p>
      <w:r>
        <w:t>- 9/14 -</w:t>
      </w:r>
    </w:p>
    <w:p>
      <w:r>
        <w:t>C/10905/2024 suffit ainsi que l'autorité, se fondant sur des éléments objectifs, acquière l'impression que les faits pertinents se sont produits, mais sans qu'elle doive exclure pour autant la possibilité qu'ils se soient déroulés autrement (ATF 138 III 232 consid. 4.1.1; arrêts du Tribunal fédéral 5A_328/2023 du 15 février 2024 consid. 6.2.2; 5A_151/2020 du 13 mai 2020 consid. 5.1.3 et les références citées). 2.1.2 Selon l'art. 117 LDIP, à défaut d’élection de droit, le contrat est régi par le droit de l’Etat avec lequel il présente les liens les plus étroits (al. 1). Ces liens sont réputés exister avec l’Etat dans lequel la partie qui doit fournir la prestation caractéristique a sa résidence habituelle ou, si le contrat est conclu dans l’exercice d’une activité professionnelle ou commerciale, son établissement (al. 2). Les exigences de rapidité peuvent empêcher l’autorité d’obtenir une connaissance suffisante du droit étranger et conduire à l’application supplétive du droit suisse (BUCHER, in Commentaire romand LDIP, 2ème éd., 2025, n. 12 ad art. 10 LDIP et les références citées). 2.1.3 Selon l'art. 413 al. 1 CO, le courtier a droit à son salaire dès que l’indication qu’il a donnée ou la négociation qu’il a conduite aboutit à la conclusion du contrat.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(RAYROUX, in Commentaire Romand, CO I, 3ème éd. 2021 n. 1 ad art. 413 CO). Le contrat principal doit respecter les exigences de forme prévues par la loi ou les cocontractants (CO 16). 2.1.4 Selon l'art. 156 CO, traitant des obligations conditionnelles, la condition est réputée accomplie quand l’une des parties en a empêché l’avènement au mépris des règles de la bonne foi. L'art. 156 CO concrétise l’interdiction de l’abus de droit (art. 2 al. 2 CC). Il faut cependant se garder d'assimiler à un abus de droit tout comportement entraînant la défaillance de la condition. L'art 156 CO n'est applicable que lorsque le comportement adopté revêt un caractère déloyal (arrêt du Tribunal fédéral 4A_203/2018 du 5 novembre 2018 consid. 3.2.2.).</w:t>
      </w:r>
    </w:p>
    <w:p>
      <w:r>
        <w:t>2.2 En l'espèce, la recourante considère que sa commission de courtage serait due en raison du fait que la vente conclue avec l'acquéreur était parfaite et que son inexécution relèverait du seul fait de l'intimée qui avait adopté un comportement déloyal.</w:t>
      </w:r>
    </w:p>
    <w:p>
      <w:r>
        <w:t>- 10/14 -</w:t>
      </w:r>
    </w:p>
    <w:p>
      <w:r>
        <w:t>C/10905/2024 2.2.1 La recourante est au bénéfice de deux contrats de courtage portant sur la vente de l'appartement situé à D______, le premier conclu avec l'intimée et le second avec la société C______ LTD. Selon les termes - quasi identiques - de ces contrats, la commission de 5% du prix de vente est due à la clôture de la transaction ("once the transaction will be closed").</w:t>
      </w:r>
    </w:p>
    <w:p>
      <w:r>
        <w:t>La commission est ainsi exigible à la "clôture" de la transaction, soit en d'autres termes une fois la transaction terminée. C'est ce qui ressort aussi du courrier du 1er décembre 2022 de la recourante, qui a, elle-même, précisé que la commission devait être "distribuée" dans les 24 heures suivant la date de "clôture" de la transaction. Par ailleurs, la recourante a également convenu de ne verser l'éventuelle commission à la société qu'elle avait sous-mandatée pour cette vente qu'une fois la vente réalisée et après règlement intégral du prix de vente, ce qui tend à corroborer le fait que la vente de l'appartement devait être aboutie pour donner droit au paiement de la commission de courtage.</w:t>
      </w:r>
    </w:p>
    <w:p>
      <w:r>
        <w:t>Or, comme l'a relevé le Tribunal, aucune transaction n'a finalement eu lieu, ce qui n'est en soi pas contesté.</w:t>
      </w:r>
    </w:p>
    <w:p>
      <w:r>
        <w:t>La recourante allègue que sa commission serait néanmoins due en raison du fait que le contrat de vente entre l'intimée et l'acquéreuse était, selon elle, parfait et valablement conclu dès lors que ces dernières s'étaient mises d'accord sur les points essentiels de la transaction, soit en particulier le prix de vente. Son argument ne convainc pas. D'une part, ce raisonnement repose sur le droit suisse dont il n'est pas rendu vraisemblable qu'il serait applicable à la vente de l'appartement situé en Angleterre, intervenant entre deux personnes ne présentant a priori aucun lien avec la Suisse. D'autre part, il résulte de la documentation produite, en particulier des projets de contrat et des échanges de courriels, que l'intimée et l'acquéreuse entendaient réserver la forme écrite à la vente, ce qui paraît du reste usuel et vraisemblable au vu des montants en jeu de plus de 45'000'000 GBP, condition qui fait en l'occurrence défaut. A cela s'ajoute encore le fait que selon leurs derniers échanges datant de février 2024, les parties étaient encore en pourparlers quant à la teneur du contrat de vente et de ses modalités, les projets de contrats échangés étant restés dans l'attente de validation. Dans ce contexte, on ne saurait retenir, même sous l'angle de la vraisemblance, que le contrat de vente a été conclu entre l'intimée et l'acquéreuse. Même à considérer que tel fût le cas, il n'apparaît pas vraisemblable que cela aurait suffi à donner lieu au paiement de la commission puisque, comme vu précédemment, celle-ci n'était due, selon les termes contractuels choisis du contrat de courtage, qu'une fois la transaction terminée.</w:t>
      </w:r>
    </w:p>
    <w:p>
      <w:r>
        <w:t>2.2.2 Reste à examiner si, comme le soutient la recourante, la transaction a été empêchée de manière déloyale par l'intimée.</w:t>
      </w:r>
    </w:p>
    <w:p>
      <w:r>
        <w:t>- 11/14 -</w:t>
      </w:r>
    </w:p>
    <w:p>
      <w:r>
        <w:t>C/10905/2024</w:t>
      </w:r>
    </w:p>
    <w:p>
      <w:r>
        <w:t>Les parties s'opposent sur les raisons pour lesquelles les négociations ont été interrompues. L'intimée invoque l'incapacité de l'acquéreuse présentée par la recourante de concrétiser la transaction après 18 mois de négociations, tandis que la recourante reproche à l'intimée, d'une part, d'avoir refusé de donner des informations sur le financement initial de l'appartement, lequel était susceptible de faire l'objet de mesure de blocage au regard des sanctions prononcées à l'encontre d'un proche de l'intimée, puis, d'autre part, d'avoir voulu se départir du contrat de courtage pour éluder ses obligations contractuelles. Il ressort du dossier que les pourparlers au sujet de la vente de l'appartement ont débuté fin 2022 et que l'intimée a relancé l'acquéreuse à plusieurs reprises notamment pour connaître l'identité finale de l'acheteur et pour qu'elle démontre sa capacité financière (l'évidence des fonds) permettant d'exécuter la transaction. Contrairement à l'avis de la recourante, le Tribunal n'a procédé à aucune constatation manifestement inexacte des faits en retenant que, le 14 juin 2023, la vendeuse ignorait encore l'identité du potentiel acheteur puisqu'à cette période il n'était pas encore arrêté, selon les échanges de correspondances produits au dossier, si c'était K______ en personne ou sa société L______ INC. qui allait se porter acquéreur. S'agissant du financement, alors que l'acquéreuse avait été présentée comme un "cash buyer" capable de réaliser rapidement la transaction, ce n'est qu'en avril 2024, soit 18 mois plus tard, qu'elle a transmis la documentation en lien avec la preuve du financement et n'a jamais procédé au dépôt de la garantie telle que requise dans les projets de contrat. Ces éléments pouvaient vraisemblablement susciter des doutes chez l'intimée quant à la capacité financière de sa cocontractante. De plus, dans la chronologie des faits, l'intimée a mis un terme aux négociations juste après avoir reçu la documentation requise, qu'elle a jugée insuffisante, ce qui tend à rendre vraisemblable que le motif pour lequel elle a interrompu les négociations reposait bel et bien sur un éventuel problème de financement. Pour sa part, la recourante ne rend pas vraisemblable son argument fondé sur d'éventuelles sanctions. Mis à part le courriel de son avocat du 29 février 2024, dont la force probante équivaut à celle d'une allégation de partie, rien ne permet de retenir, au degré de la vraisemblance, qu'elle aurait été empêchée de procéder en raison d'une éventuelle sanction frappant l'appartement litigieux. Son argument développé devant la Cour repose en grande partie sur une pièce nouvelle irrecevable (cf. consid. 1.2.2 supra). A teneur des indications figurant au dossier, ni l'intimée, ni aucune des sociétés propriétaires de l'appartement ne fait apparemment l'objet de sanction et l'appartement n'est vraisemblablement pas soumis à une quelconque mesure de restriction. L'intimée a du reste effectué et produit une procédure de due diligence concernant l'appartement qui exclut tout lien entre le tiers soumis aux sanctions et l'appartement. Au demeurant, la question d'une éventuelle sanction n'a été soulevée que le 23 février 2024, soit plus d'un an après le début des négociations, si bien que l'argument soulevé par la</w:t>
      </w:r>
    </w:p>
    <w:p>
      <w:r>
        <w:t>- 12/14 -</w:t>
      </w:r>
    </w:p>
    <w:p>
      <w:r>
        <w:t>C/10905/2024 recourante n'explique pas pour quel motif l'acquéreuse n'a pas été en mesure de produire les documents relatifs à sa capacité financière entre fin 2022 et février 2024. Sur ce point, la recourante ne parvient pas à rendre sa version des faits plus vraisemblable que celle de sa partie adverse. Quant à ses allégations selon lesquelles l'intimée aurait résilié le contrat de courtage dans le seul but d'éviter de payer la commission, jugeant celle-ci trop élevée, force est de constater qu'elles reposent sur des propos rapportés de manière indirecte au bénéfice d'une force probante limitée et qu'elles ont, de surcroît, été contredites par la représentante de N______. De plus, l'intimée a réaffirmé à plusieurs reprises que le contrat de courtage conclu par elle-même demeurait valable, ce qui donnerait droit à la commission si la transaction était menée à son terme. Par conséquent, il n'est, en l'état, pas suffisamment rendu vraisemblable que l'intimée aurait adopté une attitude déloyale pour se soustraire à ses obligations, sans préjuger d’un examen plus approfondi sur le fond. Infondé, le recours sera rejeté.</w:t>
      </w:r>
    </w:p>
    <w:p>
      <w:r>
        <w:rPr>
          <w:b/>
        </w:rPr>
        <w:t>E. 3</w:t>
      </w:r>
    </w:p>
    <w:p>
      <w:r>
        <w:t>Les frais judiciaires de recours seront mis à la charge de la recourante, qui succombe (art. 106 al. 1 CPC). Ils seront arrêtés à 3'000 fr. (art. 48 et 61 OELP) et entièrement compensés avec l'avance de frais du même montant fournie par cette dernière, qui demeure acquise à l'Etat de Genève (art. 111 al. 1 CPC).</w:t>
      </w:r>
    </w:p>
    <w:p>
      <w:r>
        <w:t>Au vu de l'issue du litige, la recourante sera, en outre, condamnée à verser la somme de 4'000 fr. à l'intimée à titre de dépens de recours (art. 84, 85 et 88 à 90 RTFMC), débours compris (art. 25 et 26 LaCC), mais sans TVA compte tenu du domicile à l'étranger de cette dernière (ATF 141 IV 344 consid. 4.1). * * * * *</w:t>
      </w:r>
    </w:p>
    <w:p>
      <w:r>
        <w:t>- 13/14 -</w:t>
      </w:r>
    </w:p>
    <w:p>
      <w:r>
        <w:t>C/10905/2024 PAR CES MOTIFS, La Chambre civile : A la forme : Déclare recevable le recours interjeté le 23 septembre 2024 par A______ SA contre le jugement OSQ/22/2024 rendu le 9 septembre 2024 par le Tribunal de première instance dans la cause C/10905/2024–12 SQP. Au fond : Le rejette. Déboute les parties de toutes autres conclusions. Sur les frais de recours : Arrête les frais judiciaires du recours à 3'000 fr., les met à la charge de A______ SA et dit qu'ils sont entièrement compensés par l'avance de frais du même montant qu'elle a versée, laquelle demeure acquise à l'Etat de Genève. Condamne A______ SA à verser à B______, la somme de 4'000 fr. à titre de dépens de recours.</w:t>
      </w:r>
    </w:p>
    <w:p>
      <w:r>
        <w:t>Siégeant : Monsieur Laurent RIEBEN, président; Madame Fabienne GEISINGER-MARIETHOZ, Madame Nathalie RAPP, juges; Madame Laura SESSA, greffière.</w:t>
      </w:r>
    </w:p>
    <w:p>
      <w:r>
        <w:t>Le président : Laurent RIEBEN</w:t>
      </w:r>
    </w:p>
    <w:p>
      <w:r>
        <w:t>La greffière : Laura SESSA</w:t>
      </w:r>
    </w:p>
    <w:p>
      <w:r>
        <w:t>- 14/14 -</w:t>
      </w:r>
    </w:p>
    <w:p>
      <w:r>
        <w:t>C/10905/2024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